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79911B29" w:rsidR="00C44EE4" w:rsidRPr="000A64D8" w:rsidRDefault="00C44EE4" w:rsidP="00C44EE4">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1F7182">
        <w:rPr>
          <w:rFonts w:ascii="Arial" w:hAnsi="Arial" w:cs="Arial"/>
          <w:b/>
          <w:sz w:val="24"/>
          <w:szCs w:val="24"/>
        </w:rPr>
        <w:t>NR Ad-Hoc #3</w:t>
      </w:r>
      <w:r w:rsidRPr="000A64D8">
        <w:rPr>
          <w:rFonts w:ascii="Arial" w:hAnsi="Arial" w:cs="Arial"/>
          <w:b/>
          <w:sz w:val="24"/>
          <w:szCs w:val="24"/>
        </w:rPr>
        <w:tab/>
      </w:r>
      <w:r w:rsidR="001F7182">
        <w:rPr>
          <w:rFonts w:ascii="Arial" w:hAnsi="Arial" w:cs="Arial"/>
          <w:b/>
          <w:sz w:val="24"/>
          <w:szCs w:val="24"/>
        </w:rPr>
        <w:t>R1-</w:t>
      </w:r>
      <w:r w:rsidR="005E5F1D">
        <w:rPr>
          <w:rFonts w:ascii="Arial" w:hAnsi="Arial" w:cs="Arial"/>
          <w:b/>
          <w:sz w:val="24"/>
          <w:szCs w:val="24"/>
        </w:rPr>
        <w:t>1716441</w:t>
      </w:r>
    </w:p>
    <w:p w14:paraId="2E2D9173" w14:textId="3D6406EC" w:rsidR="00C44EE4" w:rsidRPr="00FF5C85" w:rsidRDefault="001F7182" w:rsidP="00C44EE4">
      <w:pPr>
        <w:tabs>
          <w:tab w:val="right" w:pos="9630"/>
        </w:tabs>
        <w:spacing w:after="0"/>
        <w:jc w:val="both"/>
        <w:rPr>
          <w:rFonts w:ascii="Arial" w:hAnsi="Arial" w:cs="Arial"/>
          <w:b/>
          <w:sz w:val="24"/>
          <w:szCs w:val="24"/>
        </w:rPr>
      </w:pPr>
      <w:r>
        <w:rPr>
          <w:rFonts w:ascii="Arial" w:hAnsi="Arial" w:cs="Arial"/>
          <w:b/>
          <w:sz w:val="24"/>
          <w:szCs w:val="24"/>
        </w:rPr>
        <w:t>18th</w:t>
      </w:r>
      <w:r w:rsidR="008231BD" w:rsidRPr="008231BD">
        <w:rPr>
          <w:rFonts w:ascii="Arial" w:hAnsi="Arial" w:cs="Arial"/>
          <w:b/>
          <w:sz w:val="24"/>
          <w:szCs w:val="24"/>
        </w:rPr>
        <w:t xml:space="preserve"> – </w:t>
      </w:r>
      <w:r>
        <w:rPr>
          <w:rFonts w:ascii="Arial" w:hAnsi="Arial" w:cs="Arial"/>
          <w:b/>
          <w:sz w:val="24"/>
          <w:szCs w:val="24"/>
        </w:rPr>
        <w:t>21st</w:t>
      </w:r>
      <w:r w:rsidR="008231BD" w:rsidRPr="008231BD">
        <w:rPr>
          <w:rFonts w:ascii="Arial" w:hAnsi="Arial" w:cs="Arial"/>
          <w:b/>
          <w:sz w:val="24"/>
          <w:szCs w:val="24"/>
        </w:rPr>
        <w:t xml:space="preserve"> </w:t>
      </w:r>
      <w:r w:rsidR="00121B48">
        <w:rPr>
          <w:rFonts w:ascii="Arial" w:hAnsi="Arial" w:cs="Arial"/>
          <w:b/>
          <w:sz w:val="24"/>
          <w:szCs w:val="24"/>
        </w:rPr>
        <w:t>September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13B987CF" w:rsidR="00C44EE4" w:rsidRPr="00FF5C85" w:rsidRDefault="001F7182" w:rsidP="00C44EE4">
      <w:pPr>
        <w:spacing w:after="0"/>
        <w:jc w:val="both"/>
        <w:rPr>
          <w:rFonts w:ascii="Arial" w:hAnsi="Arial" w:cs="Arial"/>
          <w:b/>
          <w:sz w:val="24"/>
          <w:szCs w:val="24"/>
        </w:rPr>
      </w:pPr>
      <w:r>
        <w:rPr>
          <w:rFonts w:ascii="Arial" w:hAnsi="Arial" w:cs="Arial"/>
          <w:b/>
          <w:sz w:val="24"/>
          <w:szCs w:val="24"/>
        </w:rPr>
        <w:t>Nagoya</w:t>
      </w:r>
      <w:r w:rsidR="008231BD" w:rsidRPr="008231BD">
        <w:rPr>
          <w:rFonts w:ascii="Arial" w:hAnsi="Arial" w:cs="Arial"/>
          <w:b/>
          <w:sz w:val="24"/>
          <w:szCs w:val="24"/>
        </w:rPr>
        <w:t xml:space="preserve">, </w:t>
      </w:r>
      <w:r>
        <w:rPr>
          <w:rFonts w:ascii="Arial" w:hAnsi="Arial" w:cs="Arial"/>
          <w:b/>
          <w:sz w:val="24"/>
          <w:szCs w:val="24"/>
        </w:rPr>
        <w:t>Japan</w:t>
      </w:r>
    </w:p>
    <w:p w14:paraId="0049217B" w14:textId="77777777" w:rsidR="00C44EE4" w:rsidRPr="000A64D8" w:rsidRDefault="00C44EE4" w:rsidP="00C44EE4">
      <w:pPr>
        <w:pStyle w:val="Footer"/>
        <w:jc w:val="both"/>
        <w:rPr>
          <w:noProof w:val="0"/>
        </w:rPr>
      </w:pPr>
    </w:p>
    <w:p w14:paraId="10961E0A" w14:textId="32CBF176"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B24BD">
        <w:rPr>
          <w:rFonts w:ascii="Arial" w:hAnsi="Arial"/>
          <w:sz w:val="24"/>
        </w:rPr>
        <w:t>6.</w:t>
      </w:r>
      <w:r w:rsidR="001F7182">
        <w:rPr>
          <w:rFonts w:ascii="Arial" w:hAnsi="Arial"/>
          <w:sz w:val="24"/>
        </w:rPr>
        <w:t>4.1.2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EC616C5"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01027">
        <w:rPr>
          <w:rFonts w:ascii="Arial" w:hAnsi="Arial"/>
          <w:sz w:val="22"/>
        </w:rPr>
        <w:t xml:space="preserve">LDPC </w:t>
      </w:r>
      <w:r w:rsidR="00DA54A4">
        <w:rPr>
          <w:rFonts w:ascii="Arial" w:hAnsi="Arial"/>
          <w:sz w:val="22"/>
        </w:rPr>
        <w:t>Rate Matching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410CC437" w:rsidR="004359A7" w:rsidRDefault="004503F9" w:rsidP="004359A7">
      <w:pPr>
        <w:pStyle w:val="Heading1"/>
      </w:pPr>
      <w:bookmarkStart w:id="2" w:name="_Ref481748349"/>
      <w:r w:rsidRPr="00183CB7">
        <w:t>Introduction</w:t>
      </w:r>
      <w:bookmarkEnd w:id="2"/>
    </w:p>
    <w:p w14:paraId="21D04FCB" w14:textId="379AC7A1" w:rsidR="00823939" w:rsidRPr="00823939" w:rsidRDefault="00823939" w:rsidP="00823939">
      <w:pPr>
        <w:rPr>
          <w:lang w:val="en-GB"/>
        </w:rPr>
      </w:pPr>
      <w:r>
        <w:rPr>
          <w:lang w:val="en-GB"/>
        </w:rPr>
        <w:t xml:space="preserve">This contribution is revision of </w:t>
      </w:r>
      <w:r w:rsidR="00E8431F">
        <w:rPr>
          <w:lang w:val="en-GB"/>
        </w:rPr>
        <w:fldChar w:fldCharType="begin"/>
      </w:r>
      <w:r w:rsidR="00E8431F">
        <w:rPr>
          <w:lang w:val="en-GB"/>
        </w:rPr>
        <w:instrText xml:space="preserve"> REF _Ref492932534 \r \h </w:instrText>
      </w:r>
      <w:r w:rsidR="00E8431F">
        <w:rPr>
          <w:lang w:val="en-GB"/>
        </w:rPr>
      </w:r>
      <w:r w:rsidR="00E8431F">
        <w:rPr>
          <w:lang w:val="en-GB"/>
        </w:rPr>
        <w:fldChar w:fldCharType="separate"/>
      </w:r>
      <w:r w:rsidR="00E8431F">
        <w:rPr>
          <w:lang w:val="en-GB"/>
        </w:rPr>
        <w:t>[5]</w:t>
      </w:r>
      <w:r w:rsidR="00E8431F">
        <w:rPr>
          <w:lang w:val="en-GB"/>
        </w:rPr>
        <w:fldChar w:fldCharType="end"/>
      </w:r>
      <w:r w:rsidR="00E8431F">
        <w:rPr>
          <w:lang w:val="en-GB"/>
        </w:rPr>
        <w:t xml:space="preserve"> originally submitted to R</w:t>
      </w:r>
      <w:bookmarkStart w:id="3" w:name="_GoBack"/>
      <w:bookmarkEnd w:id="3"/>
      <w:r>
        <w:rPr>
          <w:lang w:val="en-GB"/>
        </w:rPr>
        <w:t>AN1 #90.</w:t>
      </w:r>
    </w:p>
    <w:p w14:paraId="3CB7317B" w14:textId="5114D798" w:rsidR="00756528" w:rsidRPr="00702E5D" w:rsidRDefault="00172F5C" w:rsidP="00756528">
      <w:r>
        <w:t xml:space="preserve">From RAN1 </w:t>
      </w:r>
      <w:r w:rsidR="00702E5D">
        <w:t>NR</w:t>
      </w:r>
      <w:r w:rsidR="00756528">
        <w:t xml:space="preserve"> Ad Hoc </w:t>
      </w:r>
      <w:r w:rsidR="00702E5D">
        <w:t xml:space="preserve">#1 </w:t>
      </w:r>
      <w:r w:rsidR="00AE74B2">
        <w:fldChar w:fldCharType="begin"/>
      </w:r>
      <w:r w:rsidR="00AE74B2">
        <w:instrText xml:space="preserve"> REF _Ref474112695 \r \h </w:instrText>
      </w:r>
      <w:r w:rsidR="00AE74B2">
        <w:fldChar w:fldCharType="separate"/>
      </w:r>
      <w:r w:rsidR="00870D79">
        <w:t>[1]</w:t>
      </w:r>
      <w:r w:rsidR="00AE74B2">
        <w:fldChar w:fldCharType="end"/>
      </w:r>
      <w:r w:rsidR="00756528">
        <w:t>, the following agreement</w:t>
      </w:r>
      <w:r w:rsidR="00866C2A">
        <w:t>s</w:t>
      </w:r>
      <w:r w:rsidR="00756528">
        <w:t xml:space="preserve"> </w:t>
      </w:r>
      <w:r w:rsidR="00702E5D">
        <w:t>were</w:t>
      </w:r>
      <w:r w:rsidR="00756528">
        <w:t xml:space="preserve"> made</w:t>
      </w:r>
    </w:p>
    <w:p w14:paraId="579948EC" w14:textId="77777777" w:rsidR="00B558CC" w:rsidRPr="003B3654" w:rsidRDefault="00B558CC" w:rsidP="00870D79">
      <w:pPr>
        <w:ind w:left="288"/>
        <w:rPr>
          <w:rFonts w:eastAsia="MS Mincho"/>
          <w:b/>
          <w:highlight w:val="green"/>
          <w:u w:val="single"/>
          <w:lang w:eastAsia="ja-JP"/>
        </w:rPr>
      </w:pPr>
      <w:r w:rsidRPr="003B3654">
        <w:rPr>
          <w:rFonts w:eastAsia="MS Mincho"/>
          <w:b/>
          <w:highlight w:val="green"/>
          <w:u w:val="single"/>
          <w:lang w:eastAsia="ja-JP"/>
        </w:rPr>
        <w:t xml:space="preserve">Agreement: </w:t>
      </w:r>
    </w:p>
    <w:p w14:paraId="2E8F577C" w14:textId="77777777" w:rsidR="00B558CC" w:rsidRPr="003B3654" w:rsidRDefault="00B558CC" w:rsidP="00870D79">
      <w:pPr>
        <w:numPr>
          <w:ilvl w:val="0"/>
          <w:numId w:val="33"/>
        </w:numPr>
        <w:tabs>
          <w:tab w:val="clear" w:pos="720"/>
          <w:tab w:val="num" w:pos="1008"/>
        </w:tabs>
        <w:overflowPunct/>
        <w:autoSpaceDE/>
        <w:autoSpaceDN/>
        <w:adjustRightInd/>
        <w:spacing w:after="0"/>
        <w:ind w:left="1008"/>
        <w:textAlignment w:val="auto"/>
        <w:rPr>
          <w:rFonts w:eastAsia="MS Mincho"/>
          <w:lang w:eastAsia="ja-JP"/>
        </w:rPr>
      </w:pPr>
      <w:r w:rsidRPr="003B3654">
        <w:rPr>
          <w:rFonts w:eastAsia="MS Mincho"/>
          <w:lang w:eastAsia="ja-JP"/>
        </w:rPr>
        <w:t>Built-in puncturing of systematic bits is supported for LDPC coding, that is:</w:t>
      </w:r>
    </w:p>
    <w:p w14:paraId="4C1BEA0A" w14:textId="77777777" w:rsidR="00B558CC" w:rsidRPr="003B3654" w:rsidRDefault="00B558CC" w:rsidP="00870D79">
      <w:pPr>
        <w:numPr>
          <w:ilvl w:val="1"/>
          <w:numId w:val="33"/>
        </w:numPr>
        <w:tabs>
          <w:tab w:val="clear" w:pos="1440"/>
          <w:tab w:val="num" w:pos="1728"/>
        </w:tabs>
        <w:overflowPunct/>
        <w:autoSpaceDE/>
        <w:autoSpaceDN/>
        <w:adjustRightInd/>
        <w:spacing w:after="0"/>
        <w:ind w:left="1728"/>
        <w:textAlignment w:val="auto"/>
        <w:rPr>
          <w:rFonts w:eastAsia="MS Mincho"/>
          <w:lang w:eastAsia="ja-JP"/>
        </w:rPr>
      </w:pPr>
      <w:r w:rsidRPr="003B3654">
        <w:rPr>
          <w:rFonts w:eastAsia="MS Mincho"/>
          <w:lang w:eastAsia="ja-JP"/>
        </w:rPr>
        <w:t>At least for the initial transmission, the coded bits are taken after skipping the first N</w:t>
      </w:r>
      <w:r w:rsidRPr="003B3654">
        <w:rPr>
          <w:rFonts w:eastAsia="MS Mincho"/>
          <w:vertAlign w:val="subscript"/>
          <w:lang w:eastAsia="ja-JP"/>
        </w:rPr>
        <w:t xml:space="preserve">sys,punct  </w:t>
      </w:r>
      <w:r w:rsidRPr="003B3654">
        <w:rPr>
          <w:rFonts w:eastAsia="MS Mincho"/>
          <w:lang w:eastAsia="ja-JP"/>
        </w:rPr>
        <w:t xml:space="preserve">systematic bits </w:t>
      </w:r>
    </w:p>
    <w:p w14:paraId="65EE7219" w14:textId="77777777" w:rsidR="00B558CC" w:rsidRPr="003B3654" w:rsidRDefault="00B558CC" w:rsidP="00870D79">
      <w:pPr>
        <w:numPr>
          <w:ilvl w:val="0"/>
          <w:numId w:val="33"/>
        </w:numPr>
        <w:tabs>
          <w:tab w:val="clear" w:pos="720"/>
          <w:tab w:val="num" w:pos="1008"/>
        </w:tabs>
        <w:overflowPunct/>
        <w:autoSpaceDE/>
        <w:autoSpaceDN/>
        <w:adjustRightInd/>
        <w:spacing w:after="0"/>
        <w:ind w:left="1008"/>
        <w:textAlignment w:val="auto"/>
        <w:rPr>
          <w:rFonts w:eastAsia="MS Mincho"/>
          <w:lang w:eastAsia="ja-JP"/>
        </w:rPr>
      </w:pPr>
      <w:r w:rsidRPr="003B3654">
        <w:rPr>
          <w:rFonts w:eastAsia="MS Mincho"/>
          <w:lang w:eastAsia="ja-JP"/>
        </w:rPr>
        <w:t>N</w:t>
      </w:r>
      <w:r w:rsidRPr="003B3654">
        <w:rPr>
          <w:rFonts w:eastAsia="MS Mincho"/>
          <w:vertAlign w:val="subscript"/>
          <w:lang w:eastAsia="ja-JP"/>
        </w:rPr>
        <w:t>sys,punct</w:t>
      </w:r>
      <w:r w:rsidRPr="003B3654">
        <w:rPr>
          <w:rFonts w:eastAsia="MS Mincho"/>
          <w:lang w:eastAsia="ja-JP"/>
        </w:rPr>
        <w:t xml:space="preserve"> is selected from: 0, Z, and 2*Z</w:t>
      </w:r>
    </w:p>
    <w:p w14:paraId="079C1B94" w14:textId="77777777" w:rsidR="00B558CC" w:rsidRPr="003B3654" w:rsidRDefault="00B558CC" w:rsidP="00870D79">
      <w:pPr>
        <w:numPr>
          <w:ilvl w:val="0"/>
          <w:numId w:val="33"/>
        </w:numPr>
        <w:tabs>
          <w:tab w:val="clear" w:pos="720"/>
          <w:tab w:val="num" w:pos="1008"/>
        </w:tabs>
        <w:overflowPunct/>
        <w:autoSpaceDE/>
        <w:autoSpaceDN/>
        <w:adjustRightInd/>
        <w:spacing w:after="0"/>
        <w:ind w:left="1008"/>
        <w:textAlignment w:val="auto"/>
        <w:rPr>
          <w:rFonts w:eastAsia="MS Mincho"/>
          <w:lang w:eastAsia="ja-JP"/>
        </w:rPr>
      </w:pPr>
      <w:r w:rsidRPr="003B3654">
        <w:rPr>
          <w:rFonts w:eastAsia="MS Mincho"/>
          <w:lang w:eastAsia="ja-JP"/>
        </w:rPr>
        <w:t>The rate matching for LDPC code is circular buffer based (same concept as in LTE)</w:t>
      </w:r>
    </w:p>
    <w:p w14:paraId="0ADA9EDD" w14:textId="77777777" w:rsidR="00B558CC" w:rsidRPr="003B3654" w:rsidRDefault="00B558CC" w:rsidP="00870D79">
      <w:pPr>
        <w:numPr>
          <w:ilvl w:val="1"/>
          <w:numId w:val="33"/>
        </w:numPr>
        <w:tabs>
          <w:tab w:val="clear" w:pos="1440"/>
          <w:tab w:val="num" w:pos="1728"/>
        </w:tabs>
        <w:overflowPunct/>
        <w:autoSpaceDE/>
        <w:autoSpaceDN/>
        <w:adjustRightInd/>
        <w:spacing w:after="0"/>
        <w:ind w:left="1728"/>
        <w:textAlignment w:val="auto"/>
        <w:rPr>
          <w:rFonts w:eastAsia="MS Mincho"/>
          <w:lang w:eastAsia="ja-JP"/>
        </w:rPr>
      </w:pPr>
      <w:r w:rsidRPr="003B3654">
        <w:rPr>
          <w:rFonts w:eastAsia="MS Mincho"/>
          <w:lang w:eastAsia="ja-JP"/>
        </w:rPr>
        <w:t>The circular buffer is filled with an ordered sequence of systematic bits and parity bits</w:t>
      </w:r>
    </w:p>
    <w:p w14:paraId="000D2A34" w14:textId="77777777" w:rsidR="00B558CC" w:rsidRPr="003B3654" w:rsidRDefault="00B558CC" w:rsidP="00870D79">
      <w:pPr>
        <w:numPr>
          <w:ilvl w:val="2"/>
          <w:numId w:val="33"/>
        </w:numPr>
        <w:tabs>
          <w:tab w:val="clear" w:pos="2160"/>
          <w:tab w:val="num" w:pos="2448"/>
        </w:tabs>
        <w:overflowPunct/>
        <w:autoSpaceDE/>
        <w:autoSpaceDN/>
        <w:adjustRightInd/>
        <w:spacing w:after="0"/>
        <w:ind w:left="2448"/>
        <w:textAlignment w:val="auto"/>
        <w:rPr>
          <w:rFonts w:eastAsia="MS Mincho"/>
          <w:lang w:eastAsia="ja-JP"/>
        </w:rPr>
      </w:pPr>
      <w:r w:rsidRPr="003B3654">
        <w:rPr>
          <w:rFonts w:eastAsia="MS Mincho"/>
          <w:lang w:eastAsia="ja-JP"/>
        </w:rPr>
        <w:t>FFS: Order of the bits in the circular buffer</w:t>
      </w:r>
    </w:p>
    <w:p w14:paraId="1418BCEC" w14:textId="75C1C73E" w:rsidR="00B558CC" w:rsidRPr="003B3654" w:rsidRDefault="00B558CC" w:rsidP="00870D79">
      <w:pPr>
        <w:numPr>
          <w:ilvl w:val="1"/>
          <w:numId w:val="33"/>
        </w:numPr>
        <w:tabs>
          <w:tab w:val="clear" w:pos="1440"/>
          <w:tab w:val="num" w:pos="1728"/>
        </w:tabs>
        <w:overflowPunct/>
        <w:autoSpaceDE/>
        <w:autoSpaceDN/>
        <w:adjustRightInd/>
        <w:spacing w:after="0"/>
        <w:ind w:left="1728"/>
        <w:textAlignment w:val="auto"/>
        <w:rPr>
          <w:rFonts w:eastAsia="MS Mincho"/>
          <w:lang w:eastAsia="ja-JP"/>
        </w:rPr>
      </w:pPr>
      <w:r w:rsidRPr="003B3654">
        <w:rPr>
          <w:rFonts w:eastAsia="MS Mincho"/>
          <w:lang w:eastAsia="ja-JP"/>
        </w:rPr>
        <w:t>For IR-HARQ, each Redundancy Version (RV), RV</w:t>
      </w:r>
      <w:r w:rsidRPr="003B3654">
        <w:rPr>
          <w:rFonts w:eastAsia="MS Mincho"/>
          <w:vertAlign w:val="subscript"/>
          <w:lang w:eastAsia="ja-JP"/>
        </w:rPr>
        <w:t>i</w:t>
      </w:r>
      <w:r w:rsidR="00BA40F5">
        <w:rPr>
          <w:rFonts w:eastAsia="MS Mincho"/>
          <w:lang w:eastAsia="ja-JP"/>
        </w:rPr>
        <w:t>,</w:t>
      </w:r>
      <w:r w:rsidRPr="003B3654">
        <w:rPr>
          <w:rFonts w:eastAsia="MS Mincho"/>
          <w:lang w:eastAsia="ja-JP"/>
        </w:rPr>
        <w:t xml:space="preserve"> is assigned a starting bit location S</w:t>
      </w:r>
      <w:r w:rsidRPr="003B3654">
        <w:rPr>
          <w:rFonts w:eastAsia="MS Mincho"/>
          <w:vertAlign w:val="subscript"/>
          <w:lang w:eastAsia="ja-JP"/>
        </w:rPr>
        <w:t>i</w:t>
      </w:r>
      <w:r w:rsidRPr="003B3654">
        <w:rPr>
          <w:rFonts w:eastAsia="MS Mincho"/>
          <w:lang w:eastAsia="ja-JP"/>
        </w:rPr>
        <w:t xml:space="preserve"> on the circular buffer</w:t>
      </w:r>
    </w:p>
    <w:p w14:paraId="14146DC6" w14:textId="77777777" w:rsidR="00B558CC" w:rsidRPr="003B3654" w:rsidRDefault="00B558CC" w:rsidP="00870D79">
      <w:pPr>
        <w:numPr>
          <w:ilvl w:val="1"/>
          <w:numId w:val="33"/>
        </w:numPr>
        <w:tabs>
          <w:tab w:val="clear" w:pos="1440"/>
          <w:tab w:val="num" w:pos="1728"/>
        </w:tabs>
        <w:overflowPunct/>
        <w:autoSpaceDE/>
        <w:autoSpaceDN/>
        <w:adjustRightInd/>
        <w:spacing w:after="0"/>
        <w:ind w:left="1728"/>
        <w:textAlignment w:val="auto"/>
        <w:rPr>
          <w:rFonts w:eastAsia="MS Mincho"/>
          <w:lang w:eastAsia="ja-JP"/>
        </w:rPr>
      </w:pPr>
      <w:r w:rsidRPr="003B3654">
        <w:rPr>
          <w:rFonts w:eastAsia="MS Mincho"/>
          <w:lang w:eastAsia="ja-JP"/>
        </w:rPr>
        <w:t>For IR retransmission of RV</w:t>
      </w:r>
      <w:r w:rsidRPr="003B3654">
        <w:rPr>
          <w:rFonts w:eastAsia="MS Mincho"/>
          <w:vertAlign w:val="subscript"/>
          <w:lang w:eastAsia="ja-JP"/>
        </w:rPr>
        <w:t>i</w:t>
      </w:r>
      <w:r w:rsidRPr="003B3654">
        <w:rPr>
          <w:rFonts w:eastAsia="MS Mincho"/>
          <w:lang w:eastAsia="ja-JP"/>
        </w:rPr>
        <w:t>, the coded bits are read out sequentially from the circular buffer, starting with the bit location S</w:t>
      </w:r>
      <w:r w:rsidRPr="003B3654">
        <w:rPr>
          <w:rFonts w:eastAsia="MS Mincho"/>
          <w:vertAlign w:val="subscript"/>
          <w:lang w:eastAsia="ja-JP"/>
        </w:rPr>
        <w:t>i</w:t>
      </w:r>
    </w:p>
    <w:p w14:paraId="6EC4035C" w14:textId="77777777" w:rsidR="00B558CC" w:rsidRPr="003B3654" w:rsidRDefault="00B558CC" w:rsidP="00870D79">
      <w:pPr>
        <w:numPr>
          <w:ilvl w:val="1"/>
          <w:numId w:val="33"/>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L</w:t>
      </w:r>
      <w:r w:rsidRPr="003B3654">
        <w:rPr>
          <w:rFonts w:eastAsia="MS Mincho"/>
          <w:lang w:eastAsia="ja-JP"/>
        </w:rPr>
        <w:t>imited buffer rate matching (LBRM) is supported</w:t>
      </w:r>
    </w:p>
    <w:p w14:paraId="6091916C" w14:textId="768EE3E0" w:rsidR="0056706A" w:rsidRDefault="0056706A" w:rsidP="00635325">
      <w:pPr>
        <w:overflowPunct/>
        <w:autoSpaceDE/>
        <w:autoSpaceDN/>
        <w:adjustRightInd/>
        <w:spacing w:after="0"/>
        <w:textAlignment w:val="auto"/>
        <w:rPr>
          <w:rFonts w:eastAsia="MS Mincho"/>
          <w:lang w:eastAsia="ja-JP"/>
        </w:rPr>
      </w:pPr>
    </w:p>
    <w:p w14:paraId="423F15F2" w14:textId="382C0408" w:rsidR="00865232" w:rsidRDefault="00702E5D" w:rsidP="00635325">
      <w:pPr>
        <w:overflowPunct/>
        <w:autoSpaceDE/>
        <w:autoSpaceDN/>
        <w:adjustRightInd/>
        <w:spacing w:after="0"/>
        <w:textAlignment w:val="auto"/>
        <w:rPr>
          <w:rFonts w:eastAsia="MS Mincho"/>
          <w:lang w:eastAsia="ja-JP"/>
        </w:rPr>
      </w:pPr>
      <w:r>
        <w:rPr>
          <w:rFonts w:eastAsia="MS Mincho"/>
          <w:lang w:eastAsia="ja-JP"/>
        </w:rPr>
        <w:t>From RAN1 #NR Ad Hoc #2</w:t>
      </w:r>
      <w:r w:rsidR="000A2C16">
        <w:rPr>
          <w:rFonts w:eastAsia="MS Mincho"/>
          <w:lang w:eastAsia="ja-JP"/>
        </w:rPr>
        <w:t xml:space="preserve"> </w:t>
      </w:r>
      <w:r w:rsidR="000A2C16">
        <w:rPr>
          <w:rFonts w:eastAsia="MS Mincho"/>
          <w:lang w:eastAsia="ja-JP"/>
        </w:rPr>
        <w:fldChar w:fldCharType="begin"/>
      </w:r>
      <w:r w:rsidR="000A2C16">
        <w:rPr>
          <w:rFonts w:eastAsia="MS Mincho"/>
          <w:lang w:eastAsia="ja-JP"/>
        </w:rPr>
        <w:instrText xml:space="preserve"> REF _Ref490175593 \r \h </w:instrText>
      </w:r>
      <w:r w:rsidR="000A2C16">
        <w:rPr>
          <w:rFonts w:eastAsia="MS Mincho"/>
          <w:lang w:eastAsia="ja-JP"/>
        </w:rPr>
      </w:r>
      <w:r w:rsidR="000A2C16">
        <w:rPr>
          <w:rFonts w:eastAsia="MS Mincho"/>
          <w:lang w:eastAsia="ja-JP"/>
        </w:rPr>
        <w:fldChar w:fldCharType="separate"/>
      </w:r>
      <w:r w:rsidR="00870D79">
        <w:rPr>
          <w:rFonts w:eastAsia="MS Mincho"/>
          <w:lang w:eastAsia="ja-JP"/>
        </w:rPr>
        <w:t>[2]</w:t>
      </w:r>
      <w:r w:rsidR="000A2C16">
        <w:rPr>
          <w:rFonts w:eastAsia="MS Mincho"/>
          <w:lang w:eastAsia="ja-JP"/>
        </w:rPr>
        <w:fldChar w:fldCharType="end"/>
      </w:r>
      <w:r w:rsidR="00865232">
        <w:rPr>
          <w:rFonts w:eastAsia="MS Mincho"/>
          <w:lang w:eastAsia="ja-JP"/>
        </w:rPr>
        <w:t>, there was an additional progress on the number of redundancy versions</w:t>
      </w:r>
    </w:p>
    <w:p w14:paraId="1817AA8A" w14:textId="7DCB31EE" w:rsidR="00865232" w:rsidRDefault="00865232" w:rsidP="00702E5D">
      <w:pPr>
        <w:overflowPunct/>
        <w:autoSpaceDE/>
        <w:autoSpaceDN/>
        <w:adjustRightInd/>
        <w:spacing w:after="0"/>
        <w:textAlignment w:val="auto"/>
        <w:rPr>
          <w:rFonts w:eastAsia="MS Mincho"/>
          <w:b/>
          <w:u w:val="single"/>
          <w:lang w:eastAsia="ja-JP"/>
        </w:rPr>
      </w:pPr>
    </w:p>
    <w:p w14:paraId="4C07F217" w14:textId="77777777" w:rsidR="00702E5D" w:rsidRPr="001427E7" w:rsidRDefault="00702E5D" w:rsidP="00870D79">
      <w:pPr>
        <w:ind w:left="288"/>
        <w:rPr>
          <w:b/>
          <w:highlight w:val="green"/>
          <w:u w:val="single"/>
        </w:rPr>
      </w:pPr>
      <w:r w:rsidRPr="001427E7">
        <w:rPr>
          <w:b/>
          <w:highlight w:val="green"/>
          <w:u w:val="single"/>
        </w:rPr>
        <w:t>Agreement:</w:t>
      </w:r>
    </w:p>
    <w:p w14:paraId="67DF457A" w14:textId="77777777" w:rsidR="00702E5D" w:rsidRDefault="00702E5D" w:rsidP="00870D79">
      <w:pPr>
        <w:numPr>
          <w:ilvl w:val="0"/>
          <w:numId w:val="36"/>
        </w:numPr>
        <w:tabs>
          <w:tab w:val="clear" w:pos="720"/>
          <w:tab w:val="num" w:pos="1008"/>
        </w:tabs>
        <w:overflowPunct/>
        <w:autoSpaceDE/>
        <w:autoSpaceDN/>
        <w:adjustRightInd/>
        <w:spacing w:after="0"/>
        <w:ind w:left="1008"/>
        <w:textAlignment w:val="auto"/>
      </w:pPr>
      <w:r>
        <w:t xml:space="preserve">The number of RVs is 4. </w:t>
      </w:r>
    </w:p>
    <w:p w14:paraId="7B795373" w14:textId="77777777" w:rsidR="00702E5D" w:rsidRDefault="00702E5D" w:rsidP="00870D79">
      <w:pPr>
        <w:numPr>
          <w:ilvl w:val="0"/>
          <w:numId w:val="36"/>
        </w:numPr>
        <w:tabs>
          <w:tab w:val="clear" w:pos="720"/>
          <w:tab w:val="num" w:pos="1008"/>
        </w:tabs>
        <w:overflowPunct/>
        <w:autoSpaceDE/>
        <w:autoSpaceDN/>
        <w:adjustRightInd/>
        <w:spacing w:after="0"/>
        <w:ind w:left="1008"/>
        <w:textAlignment w:val="auto"/>
      </w:pPr>
      <w:r>
        <w:t>The RVs are at fixed locations in the circular buffer</w:t>
      </w:r>
    </w:p>
    <w:p w14:paraId="788365D3" w14:textId="77777777" w:rsidR="00702E5D" w:rsidRDefault="00702E5D" w:rsidP="00870D79">
      <w:pPr>
        <w:numPr>
          <w:ilvl w:val="0"/>
          <w:numId w:val="36"/>
        </w:numPr>
        <w:tabs>
          <w:tab w:val="clear" w:pos="720"/>
          <w:tab w:val="num" w:pos="1008"/>
        </w:tabs>
        <w:overflowPunct/>
        <w:autoSpaceDE/>
        <w:autoSpaceDN/>
        <w:adjustRightInd/>
        <w:spacing w:after="0"/>
        <w:ind w:left="1008"/>
        <w:textAlignment w:val="auto"/>
      </w:pPr>
      <w:r>
        <w:t>RV#0 is self-decodable</w:t>
      </w:r>
    </w:p>
    <w:p w14:paraId="774761EE" w14:textId="79A36A30" w:rsidR="00702E5D" w:rsidRDefault="00702E5D" w:rsidP="00870D79">
      <w:pPr>
        <w:numPr>
          <w:ilvl w:val="0"/>
          <w:numId w:val="36"/>
        </w:numPr>
        <w:tabs>
          <w:tab w:val="clear" w:pos="720"/>
          <w:tab w:val="num" w:pos="1008"/>
        </w:tabs>
        <w:overflowPunct/>
        <w:autoSpaceDE/>
        <w:autoSpaceDN/>
        <w:adjustRightInd/>
        <w:spacing w:after="0"/>
        <w:ind w:left="1008"/>
        <w:textAlignment w:val="auto"/>
      </w:pPr>
      <w:r w:rsidRPr="001427E7">
        <w:rPr>
          <w:highlight w:val="darkYellow"/>
        </w:rPr>
        <w:t xml:space="preserve">Working assumption </w:t>
      </w:r>
      <w:r>
        <w:t>(to be confirmed after selection of the BGs): The first 2Z punctured systematic bits are not entered into the circular buffer</w:t>
      </w:r>
    </w:p>
    <w:p w14:paraId="0D2DAE53" w14:textId="77777777" w:rsidR="00870D79" w:rsidRPr="00702E5D" w:rsidRDefault="00870D79" w:rsidP="00870D79">
      <w:pPr>
        <w:overflowPunct/>
        <w:autoSpaceDE/>
        <w:autoSpaceDN/>
        <w:adjustRightInd/>
        <w:spacing w:after="0"/>
        <w:textAlignment w:val="auto"/>
      </w:pPr>
    </w:p>
    <w:p w14:paraId="18608841" w14:textId="3DAA5273" w:rsidR="00865232" w:rsidRDefault="00870D79" w:rsidP="00635325">
      <w:pPr>
        <w:overflowPunct/>
        <w:autoSpaceDE/>
        <w:autoSpaceDN/>
        <w:adjustRightInd/>
        <w:spacing w:after="0"/>
        <w:textAlignment w:val="auto"/>
        <w:rPr>
          <w:rFonts w:eastAsia="MS Mincho"/>
          <w:lang w:eastAsia="ja-JP"/>
        </w:rPr>
      </w:pPr>
      <w:r>
        <w:rPr>
          <w:rFonts w:eastAsia="MS Mincho"/>
          <w:lang w:eastAsia="ja-JP"/>
        </w:rPr>
        <w:t>Further agreements were made in RAN1 #90</w:t>
      </w:r>
      <w:r w:rsidR="00890BC2">
        <w:rPr>
          <w:rFonts w:eastAsia="MS Mincho"/>
          <w:lang w:eastAsia="ja-JP"/>
        </w:rPr>
        <w:t xml:space="preserve"> </w:t>
      </w:r>
      <w:r w:rsidR="00890BC2">
        <w:rPr>
          <w:rFonts w:eastAsia="MS Mincho"/>
          <w:lang w:eastAsia="ja-JP"/>
        </w:rPr>
        <w:fldChar w:fldCharType="begin"/>
      </w:r>
      <w:r w:rsidR="00890BC2">
        <w:rPr>
          <w:rFonts w:eastAsia="MS Mincho"/>
          <w:lang w:eastAsia="ja-JP"/>
        </w:rPr>
        <w:instrText xml:space="preserve"> REF _Ref492893353 \r \h </w:instrText>
      </w:r>
      <w:r w:rsidR="00890BC2">
        <w:rPr>
          <w:rFonts w:eastAsia="MS Mincho"/>
          <w:lang w:eastAsia="ja-JP"/>
        </w:rPr>
      </w:r>
      <w:r w:rsidR="00890BC2">
        <w:rPr>
          <w:rFonts w:eastAsia="MS Mincho"/>
          <w:lang w:eastAsia="ja-JP"/>
        </w:rPr>
        <w:fldChar w:fldCharType="separate"/>
      </w:r>
      <w:r w:rsidR="00890BC2">
        <w:rPr>
          <w:rFonts w:eastAsia="MS Mincho"/>
          <w:lang w:eastAsia="ja-JP"/>
        </w:rPr>
        <w:t>[3]</w:t>
      </w:r>
      <w:r w:rsidR="00890BC2">
        <w:rPr>
          <w:rFonts w:eastAsia="MS Mincho"/>
          <w:lang w:eastAsia="ja-JP"/>
        </w:rPr>
        <w:fldChar w:fldCharType="end"/>
      </w:r>
      <w:r>
        <w:rPr>
          <w:rFonts w:eastAsia="MS Mincho"/>
          <w:lang w:eastAsia="ja-JP"/>
        </w:rPr>
        <w:t xml:space="preserve"> </w:t>
      </w:r>
      <w:r w:rsidR="00FD76C7">
        <w:rPr>
          <w:rFonts w:eastAsia="MS Mincho"/>
          <w:lang w:eastAsia="ja-JP"/>
        </w:rPr>
        <w:t xml:space="preserve">regarding filler bits and </w:t>
      </w:r>
      <w:r w:rsidR="00E61323">
        <w:rPr>
          <w:rFonts w:eastAsia="MS Mincho"/>
          <w:lang w:eastAsia="ja-JP"/>
        </w:rPr>
        <w:t>defining the starting position of each RV to be a multiple of Z:</w:t>
      </w:r>
    </w:p>
    <w:p w14:paraId="669D02EF" w14:textId="77777777" w:rsidR="00E61323" w:rsidRDefault="00E61323" w:rsidP="00635325">
      <w:pPr>
        <w:overflowPunct/>
        <w:autoSpaceDE/>
        <w:autoSpaceDN/>
        <w:adjustRightInd/>
        <w:spacing w:after="0"/>
        <w:textAlignment w:val="auto"/>
        <w:rPr>
          <w:rFonts w:eastAsia="MS Mincho"/>
          <w:lang w:eastAsia="ja-JP"/>
        </w:rPr>
      </w:pPr>
    </w:p>
    <w:p w14:paraId="18B0224A" w14:textId="77777777" w:rsidR="00E61323" w:rsidRDefault="00E61323" w:rsidP="00E61323">
      <w:pPr>
        <w:ind w:left="288"/>
        <w:rPr>
          <w:rFonts w:eastAsia="MS Mincho"/>
          <w:b/>
          <w:highlight w:val="green"/>
          <w:u w:val="single"/>
          <w:lang w:eastAsia="ja-JP"/>
        </w:rPr>
      </w:pPr>
      <w:r>
        <w:rPr>
          <w:rFonts w:eastAsia="MS Mincho"/>
          <w:b/>
          <w:highlight w:val="green"/>
          <w:u w:val="single"/>
          <w:lang w:eastAsia="ja-JP"/>
        </w:rPr>
        <w:t xml:space="preserve">Agreements: </w:t>
      </w:r>
    </w:p>
    <w:p w14:paraId="38202E8D" w14:textId="77777777" w:rsidR="00E61323" w:rsidRDefault="00E61323" w:rsidP="00E61323">
      <w:pPr>
        <w:numPr>
          <w:ilvl w:val="0"/>
          <w:numId w:val="37"/>
        </w:numPr>
        <w:tabs>
          <w:tab w:val="left" w:pos="720"/>
          <w:tab w:val="left" w:pos="1440"/>
        </w:tabs>
        <w:overflowPunct/>
        <w:autoSpaceDE/>
        <w:autoSpaceDN/>
        <w:adjustRightInd/>
        <w:spacing w:after="0"/>
        <w:ind w:left="1008"/>
        <w:textAlignment w:val="auto"/>
        <w:rPr>
          <w:rFonts w:eastAsia="MS Mincho"/>
          <w:lang w:eastAsia="ja-JP"/>
        </w:rPr>
      </w:pPr>
      <w:r>
        <w:rPr>
          <w:rFonts w:eastAsia="MS Mincho"/>
          <w:lang w:eastAsia="ja-JP"/>
        </w:rPr>
        <w:t>Confirm the Working Assumption that the punctured systematic bits are not entered into the circular buffer</w:t>
      </w:r>
    </w:p>
    <w:p w14:paraId="45A69D81" w14:textId="77777777" w:rsidR="00E61323" w:rsidRDefault="00E61323" w:rsidP="00E61323">
      <w:pPr>
        <w:numPr>
          <w:ilvl w:val="0"/>
          <w:numId w:val="37"/>
        </w:numPr>
        <w:tabs>
          <w:tab w:val="left" w:pos="720"/>
          <w:tab w:val="left" w:pos="1440"/>
        </w:tabs>
        <w:overflowPunct/>
        <w:autoSpaceDE/>
        <w:autoSpaceDN/>
        <w:adjustRightInd/>
        <w:spacing w:after="0"/>
        <w:ind w:left="1008"/>
        <w:textAlignment w:val="auto"/>
        <w:rPr>
          <w:rFonts w:eastAsia="MS Mincho"/>
          <w:lang w:eastAsia="ja-JP"/>
        </w:rPr>
      </w:pPr>
      <w:r>
        <w:rPr>
          <w:rFonts w:eastAsia="MS Mincho"/>
          <w:lang w:eastAsia="ja-JP"/>
        </w:rPr>
        <w:t>Filler bits are entered into the circular buffer.</w:t>
      </w:r>
    </w:p>
    <w:p w14:paraId="23F5463E" w14:textId="77777777" w:rsidR="00E61323" w:rsidRDefault="00E61323" w:rsidP="00E61323">
      <w:pPr>
        <w:numPr>
          <w:ilvl w:val="0"/>
          <w:numId w:val="37"/>
        </w:numPr>
        <w:tabs>
          <w:tab w:val="left" w:pos="720"/>
          <w:tab w:val="left" w:pos="1440"/>
        </w:tabs>
        <w:overflowPunct/>
        <w:autoSpaceDE/>
        <w:autoSpaceDN/>
        <w:adjustRightInd/>
        <w:spacing w:after="0"/>
        <w:ind w:left="1008"/>
        <w:textAlignment w:val="auto"/>
        <w:rPr>
          <w:rFonts w:eastAsia="MS Mincho"/>
          <w:lang w:eastAsia="ja-JP"/>
        </w:rPr>
      </w:pPr>
      <w:r>
        <w:rPr>
          <w:rFonts w:eastAsia="MS Mincho"/>
          <w:lang w:eastAsia="ja-JP"/>
        </w:rPr>
        <w:t>The starting position of each RV is an integer multiple of Z.</w:t>
      </w:r>
    </w:p>
    <w:p w14:paraId="13946CFA" w14:textId="77777777" w:rsidR="00E61323" w:rsidRDefault="00E61323" w:rsidP="00E61323">
      <w:pPr>
        <w:numPr>
          <w:ilvl w:val="0"/>
          <w:numId w:val="37"/>
        </w:numPr>
        <w:tabs>
          <w:tab w:val="left" w:pos="720"/>
          <w:tab w:val="left" w:pos="1440"/>
        </w:tabs>
        <w:overflowPunct/>
        <w:autoSpaceDE/>
        <w:autoSpaceDN/>
        <w:adjustRightInd/>
        <w:spacing w:after="0"/>
        <w:ind w:left="1008"/>
        <w:textAlignment w:val="auto"/>
        <w:rPr>
          <w:rFonts w:eastAsia="MS Mincho"/>
          <w:lang w:eastAsia="ja-JP"/>
        </w:rPr>
      </w:pPr>
      <w:r>
        <w:rPr>
          <w:rFonts w:eastAsia="MS Mincho"/>
          <w:lang w:eastAsia="ja-JP"/>
        </w:rPr>
        <w:t>The starting positions of RVs for limited buffer should be approximately scaled from the full buffer positions, while remaining integer multiples of Z.</w:t>
      </w:r>
    </w:p>
    <w:p w14:paraId="40256BFE" w14:textId="77777777" w:rsidR="00E61323" w:rsidRDefault="00E61323" w:rsidP="00E61323">
      <w:pPr>
        <w:ind w:left="288"/>
        <w:rPr>
          <w:rFonts w:eastAsia="MS Mincho"/>
          <w:lang w:eastAsia="ja-JP"/>
        </w:rPr>
      </w:pPr>
    </w:p>
    <w:p w14:paraId="76ACB973" w14:textId="77777777" w:rsidR="00E61323" w:rsidRDefault="00E61323" w:rsidP="00E61323">
      <w:pPr>
        <w:ind w:left="288"/>
        <w:rPr>
          <w:rFonts w:eastAsia="MS Mincho"/>
          <w:b/>
          <w:u w:val="single"/>
          <w:lang w:eastAsia="ja-JP"/>
        </w:rPr>
      </w:pPr>
      <w:r>
        <w:rPr>
          <w:rFonts w:eastAsia="MS Mincho"/>
          <w:b/>
          <w:u w:val="single"/>
          <w:lang w:eastAsia="ja-JP"/>
        </w:rPr>
        <w:t xml:space="preserve">Next steps: </w:t>
      </w:r>
    </w:p>
    <w:p w14:paraId="5B536A3C" w14:textId="77777777" w:rsidR="00E61323" w:rsidRDefault="00E61323" w:rsidP="00E61323">
      <w:pPr>
        <w:numPr>
          <w:ilvl w:val="0"/>
          <w:numId w:val="37"/>
        </w:numPr>
        <w:tabs>
          <w:tab w:val="left" w:pos="720"/>
          <w:tab w:val="left" w:pos="1440"/>
        </w:tabs>
        <w:overflowPunct/>
        <w:autoSpaceDE/>
        <w:autoSpaceDN/>
        <w:adjustRightInd/>
        <w:spacing w:after="0"/>
        <w:ind w:left="1008"/>
        <w:textAlignment w:val="auto"/>
        <w:rPr>
          <w:rFonts w:eastAsia="MS Mincho"/>
          <w:lang w:eastAsia="ja-JP"/>
        </w:rPr>
      </w:pPr>
      <w:r>
        <w:rPr>
          <w:rFonts w:eastAsia="MS Mincho"/>
          <w:lang w:eastAsia="ja-JP"/>
        </w:rPr>
        <w:lastRenderedPageBreak/>
        <w:t>Investigate until NR AH#3 whether non-uniform fixed starting positions for the RVs within the circular buffer can be found giving improved performance</w:t>
      </w:r>
    </w:p>
    <w:p w14:paraId="2A1F6A92" w14:textId="77777777" w:rsidR="00E61323" w:rsidRDefault="00E61323" w:rsidP="00E61323">
      <w:pPr>
        <w:numPr>
          <w:ilvl w:val="0"/>
          <w:numId w:val="37"/>
        </w:numPr>
        <w:tabs>
          <w:tab w:val="left" w:pos="720"/>
          <w:tab w:val="left" w:pos="1440"/>
        </w:tabs>
        <w:overflowPunct/>
        <w:autoSpaceDE/>
        <w:autoSpaceDN/>
        <w:adjustRightInd/>
        <w:spacing w:after="0"/>
        <w:ind w:left="1008"/>
        <w:textAlignment w:val="auto"/>
        <w:rPr>
          <w:rFonts w:eastAsia="MS Mincho"/>
          <w:lang w:eastAsia="ja-JP"/>
        </w:rPr>
      </w:pPr>
      <w:r>
        <w:rPr>
          <w:rFonts w:eastAsia="MS Mincho"/>
          <w:lang w:eastAsia="ja-JP"/>
        </w:rPr>
        <w:t xml:space="preserve">FFS until NR AH#3 whether a single reordering function (e.g. as shown in Fig 5 in </w:t>
      </w:r>
      <w:hyperlink r:id="rId12" w:history="1">
        <w:r>
          <w:rPr>
            <w:rStyle w:val="Hyperlink"/>
            <w:rFonts w:eastAsia="MS Mincho"/>
            <w:lang w:eastAsia="ja-JP"/>
          </w:rPr>
          <w:t>R1-1713462</w:t>
        </w:r>
      </w:hyperlink>
      <w:r>
        <w:rPr>
          <w:rFonts w:eastAsia="MS Mincho"/>
          <w:lang w:eastAsia="ja-JP"/>
        </w:rPr>
        <w:t xml:space="preserve">) should be supported for RVs greater than zero before the bit collection step, considering both performance and complexity. </w:t>
      </w:r>
    </w:p>
    <w:p w14:paraId="124836AA" w14:textId="4F7C2008" w:rsidR="00E61323" w:rsidRDefault="00E61323" w:rsidP="00E61323">
      <w:pPr>
        <w:numPr>
          <w:ilvl w:val="0"/>
          <w:numId w:val="37"/>
        </w:numPr>
        <w:tabs>
          <w:tab w:val="left" w:pos="720"/>
          <w:tab w:val="left" w:pos="1440"/>
        </w:tabs>
        <w:overflowPunct/>
        <w:autoSpaceDE/>
        <w:autoSpaceDN/>
        <w:adjustRightInd/>
        <w:spacing w:after="0"/>
        <w:ind w:left="1008"/>
        <w:textAlignment w:val="auto"/>
        <w:rPr>
          <w:rFonts w:eastAsia="MS Mincho"/>
          <w:lang w:eastAsia="ja-JP"/>
        </w:rPr>
      </w:pPr>
      <w:r>
        <w:rPr>
          <w:rFonts w:eastAsia="MS Mincho"/>
          <w:lang w:eastAsia="ja-JP"/>
        </w:rPr>
        <w:t>FFS: RV order for special cases where RV index i</w:t>
      </w:r>
      <w:r w:rsidR="00110E05">
        <w:rPr>
          <w:rFonts w:eastAsia="MS Mincho"/>
          <w:lang w:eastAsia="ja-JP"/>
        </w:rPr>
        <w:t>s not explicitly signal</w:t>
      </w:r>
      <w:r>
        <w:rPr>
          <w:rFonts w:eastAsia="MS Mincho"/>
          <w:lang w:eastAsia="ja-JP"/>
        </w:rPr>
        <w:t>ed.</w:t>
      </w:r>
    </w:p>
    <w:p w14:paraId="54FC1E00" w14:textId="079E7D5A" w:rsidR="00E61323" w:rsidRDefault="00E61323" w:rsidP="00635325">
      <w:pPr>
        <w:overflowPunct/>
        <w:autoSpaceDE/>
        <w:autoSpaceDN/>
        <w:adjustRightInd/>
        <w:spacing w:after="0"/>
        <w:textAlignment w:val="auto"/>
        <w:rPr>
          <w:rFonts w:eastAsia="MS Mincho"/>
          <w:lang w:eastAsia="ja-JP"/>
        </w:rPr>
      </w:pPr>
    </w:p>
    <w:p w14:paraId="5CDE02EB" w14:textId="77777777" w:rsidR="00870D79" w:rsidRDefault="00870D79" w:rsidP="00635325">
      <w:pPr>
        <w:overflowPunct/>
        <w:autoSpaceDE/>
        <w:autoSpaceDN/>
        <w:adjustRightInd/>
        <w:spacing w:after="0"/>
        <w:textAlignment w:val="auto"/>
        <w:rPr>
          <w:rFonts w:eastAsia="MS Mincho"/>
          <w:lang w:eastAsia="ja-JP"/>
        </w:rPr>
      </w:pPr>
    </w:p>
    <w:p w14:paraId="3E75A8D5" w14:textId="3239B28B" w:rsidR="00B558CC" w:rsidRDefault="00635325" w:rsidP="00635325">
      <w:pPr>
        <w:overflowPunct/>
        <w:autoSpaceDE/>
        <w:autoSpaceDN/>
        <w:adjustRightInd/>
        <w:spacing w:after="0"/>
        <w:textAlignment w:val="auto"/>
        <w:rPr>
          <w:rFonts w:eastAsia="MS Mincho"/>
          <w:lang w:eastAsia="ja-JP"/>
        </w:rPr>
      </w:pPr>
      <w:r>
        <w:rPr>
          <w:rFonts w:eastAsia="MS Mincho"/>
          <w:lang w:eastAsia="ja-JP"/>
        </w:rPr>
        <w:t xml:space="preserve">In this contribution, we </w:t>
      </w:r>
      <w:r w:rsidR="00B558CC">
        <w:rPr>
          <w:rFonts w:eastAsia="MS Mincho"/>
          <w:lang w:eastAsia="ja-JP"/>
        </w:rPr>
        <w:t xml:space="preserve">give further consideration </w:t>
      </w:r>
      <w:r w:rsidR="00866C2A">
        <w:rPr>
          <w:rFonts w:eastAsia="MS Mincho"/>
          <w:lang w:eastAsia="ja-JP"/>
        </w:rPr>
        <w:t>of these current agreements</w:t>
      </w:r>
      <w:r w:rsidR="00B558CC">
        <w:rPr>
          <w:rFonts w:eastAsia="MS Mincho"/>
          <w:lang w:eastAsia="ja-JP"/>
        </w:rPr>
        <w:t xml:space="preserve"> toward spe</w:t>
      </w:r>
      <w:r w:rsidR="00E010A3">
        <w:rPr>
          <w:rFonts w:eastAsia="MS Mincho"/>
          <w:lang w:eastAsia="ja-JP"/>
        </w:rPr>
        <w:t>cification of LDPC coding chain, with respect to the design of rate matching and the redundancy versions.</w:t>
      </w:r>
      <w:r w:rsidR="00236032">
        <w:rPr>
          <w:rFonts w:eastAsia="MS Mincho"/>
          <w:lang w:eastAsia="ja-JP"/>
        </w:rPr>
        <w:t xml:space="preserve"> We illustrate how introduction of a re-ordering prior to the circular buffer can improve the self-decodability of redundancy versions used in subsequent transmissions.</w:t>
      </w:r>
    </w:p>
    <w:p w14:paraId="5179ADE0" w14:textId="09EE0CBB" w:rsidR="006D4AB7" w:rsidRDefault="006D4AB7" w:rsidP="006D4AB7">
      <w:pPr>
        <w:pStyle w:val="Heading1"/>
      </w:pPr>
      <w:r>
        <w:t>Description</w:t>
      </w:r>
    </w:p>
    <w:p w14:paraId="66520760" w14:textId="738EE9A5" w:rsidR="006D4AB7" w:rsidRDefault="00B26F22" w:rsidP="006D4AB7">
      <w:pPr>
        <w:rPr>
          <w:lang w:val="en-GB"/>
        </w:rPr>
      </w:pPr>
      <w:r>
        <w:rPr>
          <w:lang w:val="en-GB"/>
        </w:rPr>
        <w:t>A</w:t>
      </w:r>
      <w:r w:rsidR="006D4AB7">
        <w:rPr>
          <w:lang w:val="en-GB"/>
        </w:rPr>
        <w:t xml:space="preserve"> coding chain diagram </w:t>
      </w:r>
      <w:r w:rsidR="00EE6823">
        <w:rPr>
          <w:lang w:val="en-GB"/>
        </w:rPr>
        <w:t>is shown in</w:t>
      </w:r>
      <w:r w:rsidR="006D4AB7">
        <w:rPr>
          <w:lang w:val="en-GB"/>
        </w:rPr>
        <w:t xml:space="preserve"> </w:t>
      </w:r>
      <w:r w:rsidR="008A5B65">
        <w:rPr>
          <w:lang w:val="en-GB"/>
        </w:rPr>
        <w:fldChar w:fldCharType="begin"/>
      </w:r>
      <w:r w:rsidR="008A5B65">
        <w:rPr>
          <w:lang w:val="en-GB"/>
        </w:rPr>
        <w:instrText xml:space="preserve"> REF _Ref481819485 \h </w:instrText>
      </w:r>
      <w:r w:rsidR="008A5B65">
        <w:rPr>
          <w:lang w:val="en-GB"/>
        </w:rPr>
      </w:r>
      <w:r w:rsidR="008A5B65">
        <w:rPr>
          <w:lang w:val="en-GB"/>
        </w:rPr>
        <w:fldChar w:fldCharType="separate"/>
      </w:r>
      <w:r w:rsidR="00870D79">
        <w:t xml:space="preserve">Figure </w:t>
      </w:r>
      <w:r w:rsidR="00870D79">
        <w:rPr>
          <w:noProof/>
        </w:rPr>
        <w:t>1</w:t>
      </w:r>
      <w:r w:rsidR="008A5B65">
        <w:rPr>
          <w:lang w:val="en-GB"/>
        </w:rPr>
        <w:fldChar w:fldCharType="end"/>
      </w:r>
      <w:r w:rsidR="008A5B65">
        <w:rPr>
          <w:lang w:val="en-GB"/>
        </w:rPr>
        <w:t xml:space="preserve"> </w:t>
      </w:r>
      <w:r w:rsidR="00236032">
        <w:rPr>
          <w:lang w:val="en-GB"/>
        </w:rPr>
        <w:t xml:space="preserve">representing the above agreements, which comes </w:t>
      </w:r>
      <w:r w:rsidR="008A5B65">
        <w:rPr>
          <w:lang w:val="en-GB"/>
        </w:rPr>
        <w:t>after</w:t>
      </w:r>
      <w:r w:rsidR="006D4AB7">
        <w:rPr>
          <w:lang w:val="en-GB"/>
        </w:rPr>
        <w:t xml:space="preserve"> segmentation </w:t>
      </w:r>
      <w:r w:rsidR="0048097B">
        <w:rPr>
          <w:lang w:val="en-GB"/>
        </w:rPr>
        <w:t>with</w:t>
      </w:r>
      <w:r w:rsidR="00236032">
        <w:rPr>
          <w:lang w:val="en-GB"/>
        </w:rPr>
        <w:t xml:space="preserve"> </w:t>
      </w:r>
      <w:r w:rsidR="0048097B">
        <w:rPr>
          <w:lang w:val="en-GB"/>
        </w:rPr>
        <w:t xml:space="preserve">a given lift size Z </w:t>
      </w:r>
      <w:r w:rsidR="00236032">
        <w:rPr>
          <w:lang w:val="en-GB"/>
        </w:rPr>
        <w:t xml:space="preserve">and appropriate number of </w:t>
      </w:r>
      <w:r w:rsidR="006D4AB7">
        <w:rPr>
          <w:lang w:val="en-GB"/>
        </w:rPr>
        <w:t>filler bi</w:t>
      </w:r>
      <w:r w:rsidR="0048097B">
        <w:rPr>
          <w:lang w:val="en-GB"/>
        </w:rPr>
        <w:t>ts</w:t>
      </w:r>
      <w:r w:rsidR="006D4AB7">
        <w:rPr>
          <w:lang w:val="en-GB"/>
        </w:rPr>
        <w:t>.</w:t>
      </w:r>
      <w:r w:rsidR="00B665DE">
        <w:rPr>
          <w:lang w:val="en-GB"/>
        </w:rPr>
        <w:t xml:space="preserve"> </w:t>
      </w:r>
      <w:r w:rsidR="0048097B">
        <w:rPr>
          <w:lang w:val="en-GB"/>
        </w:rPr>
        <w:t>T</w:t>
      </w:r>
      <w:r w:rsidR="00B665DE">
        <w:rPr>
          <w:lang w:val="en-GB"/>
        </w:rPr>
        <w:t>he lifted graph is used to encode the information and filler bits according the LDPC code, and then the filler bits are punctured</w:t>
      </w:r>
      <w:r w:rsidR="00EE6823">
        <w:rPr>
          <w:lang w:val="en-GB"/>
        </w:rPr>
        <w:t xml:space="preserve"> along with the 2Z systematic bits</w:t>
      </w:r>
      <w:r w:rsidR="0048097B">
        <w:rPr>
          <w:lang w:val="en-GB"/>
        </w:rPr>
        <w:t xml:space="preserve">, </w:t>
      </w:r>
      <w:r w:rsidR="00EE6823">
        <w:rPr>
          <w:lang w:val="en-GB"/>
        </w:rPr>
        <w:t>which we refer to as the bits associated with “state nodes”</w:t>
      </w:r>
      <w:r w:rsidR="00B665DE">
        <w:rPr>
          <w:lang w:val="en-GB"/>
        </w:rPr>
        <w:t>. Following that there is a potential re-ordering of these bits, before they are written into a circular buffer from which the final cod</w:t>
      </w:r>
      <w:r w:rsidR="0048097B">
        <w:rPr>
          <w:lang w:val="en-GB"/>
        </w:rPr>
        <w:t>ed sequence of bits is selected and s</w:t>
      </w:r>
      <w:r w:rsidR="000A2C16">
        <w:rPr>
          <w:lang w:val="en-GB"/>
        </w:rPr>
        <w:t>ent to the constellation mapper and precoded onto the MIMO layers.</w:t>
      </w:r>
    </w:p>
    <w:p w14:paraId="6AB943BF" w14:textId="77777777" w:rsidR="008A5B65" w:rsidRDefault="008A5B65" w:rsidP="006D4AB7">
      <w:pPr>
        <w:rPr>
          <w:lang w:val="en-GB"/>
        </w:rPr>
      </w:pPr>
    </w:p>
    <w:p w14:paraId="232AD628" w14:textId="1FCC4D17" w:rsidR="008A5B65" w:rsidRDefault="00EE6823" w:rsidP="008A5B65">
      <w:pPr>
        <w:keepNext/>
        <w:jc w:val="center"/>
      </w:pPr>
      <w:r w:rsidRPr="00EE6823">
        <w:object w:dxaOrig="13544" w:dyaOrig="3211" w14:anchorId="107C6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118.9pt" o:ole="">
            <v:imagedata r:id="rId13" o:title=""/>
          </v:shape>
          <o:OLEObject Type="Embed" ProgID="Visio.Drawing.11" ShapeID="_x0000_i1025" DrawAspect="Content" ObjectID="_1566674439" r:id="rId14"/>
        </w:object>
      </w:r>
    </w:p>
    <w:p w14:paraId="3D668570" w14:textId="5908C6BD" w:rsidR="008A5B65" w:rsidRDefault="008A5B65" w:rsidP="008A5B65">
      <w:pPr>
        <w:pStyle w:val="Caption"/>
        <w:jc w:val="center"/>
      </w:pPr>
      <w:bookmarkStart w:id="4" w:name="_Ref481819485"/>
      <w:r>
        <w:t xml:space="preserve">Figure </w:t>
      </w:r>
      <w:r w:rsidR="00E8431F">
        <w:fldChar w:fldCharType="begin"/>
      </w:r>
      <w:r w:rsidR="00E8431F">
        <w:instrText xml:space="preserve"> SEQ Figure \* ARABIC </w:instrText>
      </w:r>
      <w:r w:rsidR="00E8431F">
        <w:fldChar w:fldCharType="separate"/>
      </w:r>
      <w:r w:rsidR="00870D79">
        <w:rPr>
          <w:noProof/>
        </w:rPr>
        <w:t>1</w:t>
      </w:r>
      <w:r w:rsidR="00E8431F">
        <w:rPr>
          <w:noProof/>
        </w:rPr>
        <w:fldChar w:fldCharType="end"/>
      </w:r>
      <w:bookmarkEnd w:id="4"/>
      <w:r>
        <w:t>. Coding chain after segmentation</w:t>
      </w:r>
    </w:p>
    <w:p w14:paraId="509CD35A" w14:textId="1B8A494D" w:rsidR="006D4AB7" w:rsidRPr="006D4AB7" w:rsidRDefault="006D4AB7" w:rsidP="006D4AB7">
      <w:pPr>
        <w:rPr>
          <w:lang w:val="en-GB"/>
        </w:rPr>
      </w:pPr>
    </w:p>
    <w:p w14:paraId="35FF0BF2" w14:textId="01B77CF8" w:rsidR="000A2C16" w:rsidRDefault="000A2C16" w:rsidP="00B26F22">
      <w:pPr>
        <w:pStyle w:val="Heading1"/>
      </w:pPr>
      <w:r>
        <w:t>Nominal redundancy versions</w:t>
      </w:r>
    </w:p>
    <w:p w14:paraId="7741D6E9" w14:textId="5F5B76CF" w:rsidR="000A2C16" w:rsidRDefault="000A2C16" w:rsidP="000A2C16">
      <w:pPr>
        <w:rPr>
          <w:rFonts w:eastAsia="MS Mincho"/>
          <w:lang w:eastAsia="ja-JP"/>
        </w:rPr>
      </w:pPr>
      <w:r>
        <w:rPr>
          <w:lang w:val="en-GB"/>
        </w:rPr>
        <w:t>Recall the base graph structure</w:t>
      </w:r>
      <w:r w:rsidR="00433E03">
        <w:rPr>
          <w:lang w:val="en-GB"/>
        </w:rPr>
        <w:t>s</w:t>
      </w:r>
      <w:r>
        <w:rPr>
          <w:lang w:val="en-GB"/>
        </w:rPr>
        <w:t xml:space="preserve"> agreed from</w:t>
      </w:r>
      <w:r w:rsidR="00433E03">
        <w:rPr>
          <w:rFonts w:eastAsia="MS Mincho"/>
          <w:lang w:eastAsia="ja-JP"/>
        </w:rPr>
        <w:t xml:space="preserve"> </w:t>
      </w:r>
      <w:r w:rsidR="00433E03">
        <w:rPr>
          <w:rFonts w:eastAsia="MS Mincho"/>
          <w:lang w:eastAsia="ja-JP"/>
        </w:rPr>
        <w:fldChar w:fldCharType="begin"/>
      </w:r>
      <w:r w:rsidR="00433E03">
        <w:rPr>
          <w:rFonts w:eastAsia="MS Mincho"/>
          <w:lang w:eastAsia="ja-JP"/>
        </w:rPr>
        <w:instrText xml:space="preserve"> REF _Ref490175593 \r \h </w:instrText>
      </w:r>
      <w:r w:rsidR="00433E03">
        <w:rPr>
          <w:rFonts w:eastAsia="MS Mincho"/>
          <w:lang w:eastAsia="ja-JP"/>
        </w:rPr>
      </w:r>
      <w:r w:rsidR="00433E03">
        <w:rPr>
          <w:rFonts w:eastAsia="MS Mincho"/>
          <w:lang w:eastAsia="ja-JP"/>
        </w:rPr>
        <w:fldChar w:fldCharType="separate"/>
      </w:r>
      <w:r w:rsidR="00870D79">
        <w:rPr>
          <w:rFonts w:eastAsia="MS Mincho"/>
          <w:lang w:eastAsia="ja-JP"/>
        </w:rPr>
        <w:t>[2]</w:t>
      </w:r>
      <w:r w:rsidR="00433E03">
        <w:rPr>
          <w:rFonts w:eastAsia="MS Mincho"/>
          <w:lang w:eastAsia="ja-JP"/>
        </w:rPr>
        <w:fldChar w:fldCharType="end"/>
      </w:r>
      <w:r w:rsidR="00433E03">
        <w:rPr>
          <w:rFonts w:eastAsia="MS Mincho"/>
          <w:lang w:eastAsia="ja-JP"/>
        </w:rPr>
        <w:t xml:space="preserve"> include a dual-diagonal parity block and diagonal extension. Basegraph 1 is provided below for illustration.</w:t>
      </w:r>
    </w:p>
    <w:p w14:paraId="516248F7" w14:textId="77777777" w:rsidR="00433E03" w:rsidRDefault="00433E03" w:rsidP="00433E03">
      <w:pPr>
        <w:keepNext/>
        <w:jc w:val="center"/>
      </w:pPr>
      <w:r>
        <w:rPr>
          <w:noProof/>
        </w:rPr>
        <w:drawing>
          <wp:inline distT="0" distB="0" distL="0" distR="0" wp14:anchorId="764E1044" wp14:editId="377BEF97">
            <wp:extent cx="5953125" cy="33226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67471" cy="3330671"/>
                    </a:xfrm>
                    <a:prstGeom prst="rect">
                      <a:avLst/>
                    </a:prstGeom>
                    <a:noFill/>
                  </pic:spPr>
                </pic:pic>
              </a:graphicData>
            </a:graphic>
          </wp:inline>
        </w:drawing>
      </w:r>
    </w:p>
    <w:p w14:paraId="28301136" w14:textId="410A8AB2" w:rsidR="00433E03" w:rsidRDefault="00433E03" w:rsidP="00433E03">
      <w:pPr>
        <w:pStyle w:val="Caption"/>
        <w:jc w:val="center"/>
      </w:pPr>
      <w:r>
        <w:t xml:space="preserve">Figure </w:t>
      </w:r>
      <w:r w:rsidR="00E8431F">
        <w:fldChar w:fldCharType="begin"/>
      </w:r>
      <w:r w:rsidR="00E8431F">
        <w:instrText xml:space="preserve"> SEQ Figure \* ARABIC </w:instrText>
      </w:r>
      <w:r w:rsidR="00E8431F">
        <w:fldChar w:fldCharType="separate"/>
      </w:r>
      <w:r w:rsidR="00870D79">
        <w:rPr>
          <w:noProof/>
        </w:rPr>
        <w:t>2</w:t>
      </w:r>
      <w:r w:rsidR="00E8431F">
        <w:rPr>
          <w:noProof/>
        </w:rPr>
        <w:fldChar w:fldCharType="end"/>
      </w:r>
      <w:r>
        <w:t>. Basegraph 1</w:t>
      </w:r>
    </w:p>
    <w:p w14:paraId="09FD5192" w14:textId="0AA7892F" w:rsidR="00CE369B" w:rsidRDefault="00433E03" w:rsidP="00CE369B">
      <w:pPr>
        <w:divId w:val="1473130903"/>
      </w:pPr>
      <w:r>
        <w:t>The following structure has been optimized for lower</w:t>
      </w:r>
      <w:r w:rsidR="003B7E8F">
        <w:t xml:space="preserve"> computational</w:t>
      </w:r>
      <w:r>
        <w:t xml:space="preserve"> complexity decoding when operating at higher code rates, since the later punctured bits on the dual diagonal </w:t>
      </w:r>
      <w:r w:rsidR="000630F4">
        <w:t xml:space="preserve">and diagonal extension </w:t>
      </w:r>
      <w:r>
        <w:t xml:space="preserve">do not need to be decoded at the receiver. </w:t>
      </w:r>
      <w:r w:rsidR="000630F4">
        <w:t xml:space="preserve">If the lower code rate or rate 1/3 supported above is included in the entire circular buffer, without any re-ordering as shown in </w:t>
      </w:r>
      <w:r w:rsidR="000630F4">
        <w:rPr>
          <w:lang w:val="en-GB"/>
        </w:rPr>
        <w:t xml:space="preserve">in </w:t>
      </w:r>
      <w:r w:rsidR="000630F4">
        <w:rPr>
          <w:lang w:val="en-GB"/>
        </w:rPr>
        <w:fldChar w:fldCharType="begin"/>
      </w:r>
      <w:r w:rsidR="000630F4">
        <w:rPr>
          <w:lang w:val="en-GB"/>
        </w:rPr>
        <w:instrText xml:space="preserve"> REF _Ref481819485 \h </w:instrText>
      </w:r>
      <w:r w:rsidR="000630F4">
        <w:rPr>
          <w:lang w:val="en-GB"/>
        </w:rPr>
      </w:r>
      <w:r w:rsidR="000630F4">
        <w:rPr>
          <w:lang w:val="en-GB"/>
        </w:rPr>
        <w:fldChar w:fldCharType="separate"/>
      </w:r>
      <w:r w:rsidR="00870D79">
        <w:t xml:space="preserve">Figure </w:t>
      </w:r>
      <w:r w:rsidR="00870D79">
        <w:rPr>
          <w:noProof/>
        </w:rPr>
        <w:t>1</w:t>
      </w:r>
      <w:r w:rsidR="000630F4">
        <w:rPr>
          <w:lang w:val="en-GB"/>
        </w:rPr>
        <w:fldChar w:fldCharType="end"/>
      </w:r>
      <w:r w:rsidR="000630F4">
        <w:t xml:space="preserve">, then one could define a nominal set of redundancy versions </w:t>
      </w:r>
      <w:r w:rsidR="00387A60">
        <w:t xml:space="preserve">(RVs) </w:t>
      </w:r>
      <w:r w:rsidR="0084456A">
        <w:t xml:space="preserve">using </w:t>
      </w:r>
      <w:r w:rsidR="00CE369B">
        <w:fldChar w:fldCharType="begin"/>
      </w:r>
      <w:r w:rsidR="00CE369B">
        <w:instrText xml:space="preserve"> REF _Ref490177205 \h </w:instrText>
      </w:r>
      <w:r w:rsidR="00CE369B">
        <w:fldChar w:fldCharType="separate"/>
      </w:r>
      <w:r w:rsidR="00870D79">
        <w:t xml:space="preserve">Table </w:t>
      </w:r>
      <w:r w:rsidR="00870D79">
        <w:rPr>
          <w:noProof/>
        </w:rPr>
        <w:t>1</w:t>
      </w:r>
      <w:r w:rsidR="00CE369B">
        <w:fldChar w:fldCharType="end"/>
      </w:r>
      <w:r w:rsidR="00CE369B">
        <w:t>, assuming the sequence definition</w:t>
      </w:r>
    </w:p>
    <w:p w14:paraId="094AFF63" w14:textId="7BD66745" w:rsidR="00CE369B" w:rsidRPr="00CE369B" w:rsidRDefault="00E8431F" w:rsidP="00184369">
      <w:pPr>
        <w:jc w:val="center"/>
        <w:divId w:val="1473130903"/>
        <w:rPr>
          <w:rFonts w:ascii="Cambria Math" w:hAnsi="Cambria Math"/>
          <w:i/>
        </w:rPr>
      </w:pPr>
      <m:oMath>
        <m:sSub>
          <m:sSubPr>
            <m:ctrlPr>
              <w:rPr>
                <w:rFonts w:ascii="Cambria Math" w:hAnsi="Cambria Math"/>
                <w:i/>
                <w:iCs/>
              </w:rPr>
            </m:ctrlPr>
          </m:sSubPr>
          <m:e>
            <m:r>
              <w:rPr>
                <w:rFonts w:ascii="Cambria Math" w:hAnsi="Cambria Math"/>
              </w:rPr>
              <m:t>e</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d</m:t>
            </m:r>
          </m:e>
          <m:sub>
            <m:d>
              <m:dPr>
                <m:ctrlPr>
                  <w:rPr>
                    <w:rFonts w:ascii="Cambria Math" w:hAnsi="Cambria Math"/>
                    <w:i/>
                    <w:iCs/>
                  </w:rPr>
                </m:ctrlPr>
              </m:dPr>
              <m:e>
                <m:r>
                  <w:rPr>
                    <w:rFonts w:ascii="Cambria Math" w:hAnsi="Cambria Math"/>
                  </w:rPr>
                  <m:t>n+R</m:t>
                </m:r>
                <m:sSub>
                  <m:sSubPr>
                    <m:ctrlPr>
                      <w:rPr>
                        <w:rFonts w:ascii="Cambria Math" w:hAnsi="Cambria Math"/>
                        <w:i/>
                        <w:iCs/>
                      </w:rPr>
                    </m:ctrlPr>
                  </m:sSubPr>
                  <m:e>
                    <m:r>
                      <w:rPr>
                        <w:rFonts w:ascii="Cambria Math" w:hAnsi="Cambria Math"/>
                      </w:rPr>
                      <m:t>V</m:t>
                    </m:r>
                  </m:e>
                  <m:sub>
                    <m:r>
                      <w:rPr>
                        <w:rFonts w:ascii="Cambria Math" w:hAnsi="Cambria Math"/>
                      </w:rPr>
                      <m:t>i,start</m:t>
                    </m:r>
                  </m:sub>
                </m:sSub>
              </m:e>
            </m:d>
            <m:r>
              <m:rPr>
                <m:sty m:val="p"/>
              </m:rPr>
              <w:rPr>
                <w:rFonts w:ascii="Cambria Math" w:hAnsi="Cambria Math"/>
              </w:rPr>
              <m:t>mod</m:t>
            </m:r>
            <m:r>
              <w:rPr>
                <w:rFonts w:ascii="Cambria Math" w:hAnsi="Cambria Math"/>
              </w:rPr>
              <m:t>N </m:t>
            </m:r>
          </m:sub>
        </m:sSub>
      </m:oMath>
      <w:r w:rsidR="00184369">
        <w:rPr>
          <w:rFonts w:ascii="Cambria Math" w:hAnsi="Cambria Math"/>
          <w:i/>
          <w:iCs/>
        </w:rPr>
        <w:t>.</w:t>
      </w:r>
    </w:p>
    <w:p w14:paraId="7DAF04C3" w14:textId="6C6DF186" w:rsidR="00433E03" w:rsidRDefault="00433E03" w:rsidP="00433E03"/>
    <w:p w14:paraId="0E8461B5" w14:textId="0405007B" w:rsidR="000630F4" w:rsidRDefault="000630F4" w:rsidP="00CE369B">
      <w:pPr>
        <w:pStyle w:val="Caption"/>
        <w:keepNext/>
        <w:jc w:val="center"/>
      </w:pPr>
      <w:bookmarkStart w:id="5" w:name="_Ref490177205"/>
      <w:r>
        <w:t xml:space="preserve">Table </w:t>
      </w:r>
      <w:r w:rsidR="00E8431F">
        <w:fldChar w:fldCharType="begin"/>
      </w:r>
      <w:r w:rsidR="00E8431F">
        <w:instrText xml:space="preserve"> SEQ Table \* ARABIC </w:instrText>
      </w:r>
      <w:r w:rsidR="00E8431F">
        <w:fldChar w:fldCharType="separate"/>
      </w:r>
      <w:r w:rsidR="00870D79">
        <w:rPr>
          <w:noProof/>
        </w:rPr>
        <w:t>1</w:t>
      </w:r>
      <w:r w:rsidR="00E8431F">
        <w:rPr>
          <w:noProof/>
        </w:rPr>
        <w:fldChar w:fldCharType="end"/>
      </w:r>
      <w:bookmarkEnd w:id="5"/>
      <w:r>
        <w:t>. Definition for nominal redundancy versions</w:t>
      </w:r>
    </w:p>
    <w:tbl>
      <w:tblPr>
        <w:tblW w:w="7641" w:type="dxa"/>
        <w:jc w:val="center"/>
        <w:tblCellMar>
          <w:left w:w="0" w:type="dxa"/>
          <w:right w:w="0" w:type="dxa"/>
        </w:tblCellMar>
        <w:tblLook w:val="0420" w:firstRow="1" w:lastRow="0" w:firstColumn="0" w:lastColumn="0" w:noHBand="0" w:noVBand="1"/>
      </w:tblPr>
      <w:tblGrid>
        <w:gridCol w:w="1699"/>
        <w:gridCol w:w="2296"/>
        <w:gridCol w:w="3646"/>
      </w:tblGrid>
      <w:tr w:rsidR="000630F4" w:rsidRPr="000630F4" w14:paraId="74E15DD8" w14:textId="77777777" w:rsidTr="00CE369B">
        <w:trPr>
          <w:trHeight w:val="235"/>
          <w:jc w:val="center"/>
        </w:trPr>
        <w:tc>
          <w:tcPr>
            <w:tcW w:w="1699"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41C3F14B" w14:textId="77777777" w:rsidR="000630F4" w:rsidRPr="000630F4" w:rsidRDefault="000630F4" w:rsidP="0084456A">
            <w:pPr>
              <w:jc w:val="center"/>
            </w:pPr>
            <w:r w:rsidRPr="000630F4">
              <w:rPr>
                <w:b/>
                <w:bCs/>
              </w:rPr>
              <w:t>RV ID</w:t>
            </w:r>
          </w:p>
        </w:tc>
        <w:tc>
          <w:tcPr>
            <w:tcW w:w="229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50C9C12" w14:textId="77777777" w:rsidR="000630F4" w:rsidRPr="000630F4" w:rsidRDefault="000630F4" w:rsidP="0084456A">
            <w:pPr>
              <w:jc w:val="center"/>
            </w:pPr>
            <w:r w:rsidRPr="000630F4">
              <w:rPr>
                <w:b/>
                <w:bCs/>
              </w:rPr>
              <w:t>RV start index</w:t>
            </w:r>
          </w:p>
        </w:tc>
        <w:tc>
          <w:tcPr>
            <w:tcW w:w="3645"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14:paraId="1FCC1F81" w14:textId="23E0BC47" w:rsidR="000630F4" w:rsidRPr="000630F4" w:rsidRDefault="000630F4" w:rsidP="0084456A">
            <w:pPr>
              <w:jc w:val="center"/>
            </w:pPr>
            <w:r>
              <w:rPr>
                <w:b/>
                <w:bCs/>
              </w:rPr>
              <w:t>Approximate</w:t>
            </w:r>
            <w:r w:rsidRPr="000630F4">
              <w:rPr>
                <w:b/>
                <w:bCs/>
              </w:rPr>
              <w:t xml:space="preserve"> starting column</w:t>
            </w:r>
            <w:r>
              <w:rPr>
                <w:b/>
                <w:bCs/>
              </w:rPr>
              <w:t xml:space="preserve"> in basegraph</w:t>
            </w:r>
          </w:p>
        </w:tc>
      </w:tr>
      <w:tr w:rsidR="000630F4" w:rsidRPr="000630F4" w14:paraId="436907C2" w14:textId="77777777" w:rsidTr="00CE369B">
        <w:trPr>
          <w:trHeight w:val="136"/>
          <w:jc w:val="center"/>
        </w:trPr>
        <w:tc>
          <w:tcPr>
            <w:tcW w:w="1699"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4DA1A56" w14:textId="77777777" w:rsidR="000630F4" w:rsidRPr="000630F4" w:rsidRDefault="000630F4" w:rsidP="0084456A">
            <w:pPr>
              <w:jc w:val="center"/>
            </w:pPr>
            <w:r w:rsidRPr="000630F4">
              <w:t>0</w:t>
            </w:r>
          </w:p>
        </w:tc>
        <w:tc>
          <w:tcPr>
            <w:tcW w:w="229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3E311A40" w14:textId="77777777" w:rsidR="000630F4" w:rsidRPr="000630F4" w:rsidRDefault="000630F4" w:rsidP="0084456A">
            <w:pPr>
              <w:jc w:val="center"/>
            </w:pPr>
            <w:r w:rsidRPr="000630F4">
              <w:t>0</w:t>
            </w:r>
          </w:p>
        </w:tc>
        <w:tc>
          <w:tcPr>
            <w:tcW w:w="3645"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7CC8EE40" w14:textId="77777777" w:rsidR="000630F4" w:rsidRPr="000630F4" w:rsidRDefault="000630F4" w:rsidP="0084456A">
            <w:pPr>
              <w:jc w:val="center"/>
            </w:pPr>
            <w:r w:rsidRPr="000630F4">
              <w:t>1</w:t>
            </w:r>
            <w:r w:rsidRPr="000630F4">
              <w:rPr>
                <w:vertAlign w:val="superscript"/>
              </w:rPr>
              <w:t>st</w:t>
            </w:r>
          </w:p>
        </w:tc>
      </w:tr>
      <w:tr w:rsidR="000630F4" w:rsidRPr="000630F4" w14:paraId="418E568F" w14:textId="77777777" w:rsidTr="00CE369B">
        <w:trPr>
          <w:trHeight w:val="136"/>
          <w:jc w:val="center"/>
        </w:trPr>
        <w:tc>
          <w:tcPr>
            <w:tcW w:w="169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F5B76B8" w14:textId="77777777" w:rsidR="000630F4" w:rsidRPr="000630F4" w:rsidRDefault="000630F4" w:rsidP="0084456A">
            <w:pPr>
              <w:jc w:val="center"/>
            </w:pPr>
            <w:r w:rsidRPr="000630F4">
              <w:t>1</w:t>
            </w:r>
          </w:p>
        </w:tc>
        <w:tc>
          <w:tcPr>
            <w:tcW w:w="229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2E63121" w14:textId="3CEFECD1" w:rsidR="000630F4" w:rsidRPr="000630F4" w:rsidRDefault="00E8431F" w:rsidP="0084456A">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/4</m:t>
                    </m:r>
                  </m:e>
                </m:d>
              </m:oMath>
            </m:oMathPara>
          </w:p>
        </w:tc>
        <w:tc>
          <w:tcPr>
            <w:tcW w:w="364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33F7B959" w14:textId="77777777" w:rsidR="000630F4" w:rsidRPr="000630F4" w:rsidRDefault="000630F4" w:rsidP="0084456A">
            <w:pPr>
              <w:jc w:val="center"/>
            </w:pPr>
            <w:r w:rsidRPr="000630F4">
              <w:t>16</w:t>
            </w:r>
            <w:r w:rsidRPr="000630F4">
              <w:rPr>
                <w:vertAlign w:val="superscript"/>
              </w:rPr>
              <w:t>th</w:t>
            </w:r>
          </w:p>
        </w:tc>
      </w:tr>
      <w:tr w:rsidR="000630F4" w:rsidRPr="000630F4" w14:paraId="3F458EAA" w14:textId="77777777" w:rsidTr="00CE369B">
        <w:trPr>
          <w:trHeight w:val="136"/>
          <w:jc w:val="center"/>
        </w:trPr>
        <w:tc>
          <w:tcPr>
            <w:tcW w:w="1699"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0C9B93E1" w14:textId="77777777" w:rsidR="000630F4" w:rsidRPr="000630F4" w:rsidRDefault="000630F4" w:rsidP="0084456A">
            <w:pPr>
              <w:jc w:val="center"/>
            </w:pPr>
            <w:r w:rsidRPr="000630F4">
              <w:t>2</w:t>
            </w:r>
          </w:p>
        </w:tc>
        <w:tc>
          <w:tcPr>
            <w:tcW w:w="2296"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784CFBE" w14:textId="4641F924" w:rsidR="000630F4" w:rsidRPr="000630F4" w:rsidRDefault="00E8431F" w:rsidP="0084456A">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2N</m:t>
                        </m:r>
                      </m:e>
                      <m:sub>
                        <m:r>
                          <w:rPr>
                            <w:rFonts w:ascii="Cambria Math" w:hAnsi="Cambria Math"/>
                          </w:rPr>
                          <m:t>max</m:t>
                        </m:r>
                      </m:sub>
                    </m:sSub>
                    <m:r>
                      <w:rPr>
                        <w:rFonts w:ascii="Cambria Math" w:hAnsi="Cambria Math"/>
                      </w:rPr>
                      <m:t>/4</m:t>
                    </m:r>
                  </m:e>
                </m:d>
              </m:oMath>
            </m:oMathPara>
          </w:p>
        </w:tc>
        <w:tc>
          <w:tcPr>
            <w:tcW w:w="3645" w:type="dxa"/>
            <w:tcBorders>
              <w:top w:val="single" w:sz="8"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14:paraId="4D227DEB" w14:textId="77777777" w:rsidR="000630F4" w:rsidRPr="000630F4" w:rsidRDefault="000630F4" w:rsidP="0084456A">
            <w:pPr>
              <w:jc w:val="center"/>
            </w:pPr>
            <w:r w:rsidRPr="000630F4">
              <w:t>33</w:t>
            </w:r>
            <w:r w:rsidRPr="000630F4">
              <w:rPr>
                <w:vertAlign w:val="superscript"/>
              </w:rPr>
              <w:t>rd</w:t>
            </w:r>
          </w:p>
        </w:tc>
      </w:tr>
      <w:tr w:rsidR="000630F4" w:rsidRPr="000630F4" w14:paraId="3F7E7A85" w14:textId="77777777" w:rsidTr="00CE369B">
        <w:trPr>
          <w:trHeight w:val="17"/>
          <w:jc w:val="center"/>
        </w:trPr>
        <w:tc>
          <w:tcPr>
            <w:tcW w:w="1699"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6A7EF7FB" w14:textId="77777777" w:rsidR="000630F4" w:rsidRPr="000630F4" w:rsidRDefault="000630F4" w:rsidP="0084456A">
            <w:pPr>
              <w:jc w:val="center"/>
            </w:pPr>
            <w:r w:rsidRPr="000630F4">
              <w:t>3</w:t>
            </w:r>
          </w:p>
        </w:tc>
        <w:tc>
          <w:tcPr>
            <w:tcW w:w="229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3FC4B6D" w14:textId="405135A3" w:rsidR="000630F4" w:rsidRPr="000630F4" w:rsidRDefault="00E8431F" w:rsidP="0084456A">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3N</m:t>
                        </m:r>
                      </m:e>
                      <m:sub>
                        <m:r>
                          <w:rPr>
                            <w:rFonts w:ascii="Cambria Math" w:hAnsi="Cambria Math"/>
                          </w:rPr>
                          <m:t>max</m:t>
                        </m:r>
                      </m:sub>
                    </m:sSub>
                    <m:r>
                      <w:rPr>
                        <w:rFonts w:ascii="Cambria Math" w:hAnsi="Cambria Math"/>
                      </w:rPr>
                      <m:t>/4</m:t>
                    </m:r>
                  </m:e>
                </m:d>
              </m:oMath>
            </m:oMathPara>
          </w:p>
        </w:tc>
        <w:tc>
          <w:tcPr>
            <w:tcW w:w="3645"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14:paraId="20E65603" w14:textId="77777777" w:rsidR="000630F4" w:rsidRPr="000630F4" w:rsidRDefault="000630F4" w:rsidP="0084456A">
            <w:pPr>
              <w:jc w:val="center"/>
            </w:pPr>
            <w:r w:rsidRPr="000630F4">
              <w:t>50</w:t>
            </w:r>
            <w:r w:rsidRPr="000630F4">
              <w:rPr>
                <w:vertAlign w:val="superscript"/>
              </w:rPr>
              <w:t>th</w:t>
            </w:r>
          </w:p>
        </w:tc>
      </w:tr>
      <w:tr w:rsidR="000630F4" w:rsidRPr="000630F4" w14:paraId="5E20260D" w14:textId="77777777" w:rsidTr="00CE369B">
        <w:trPr>
          <w:trHeight w:val="17"/>
          <w:jc w:val="center"/>
        </w:trPr>
        <w:tc>
          <w:tcPr>
            <w:tcW w:w="7641" w:type="dxa"/>
            <w:gridSpan w:val="3"/>
            <w:tcBorders>
              <w:top w:val="single" w:sz="8" w:space="0" w:color="FFFFFF"/>
              <w:left w:val="single" w:sz="8" w:space="0" w:color="FFFFFF"/>
              <w:bottom w:val="single" w:sz="8" w:space="0" w:color="FFFFFF"/>
              <w:right w:val="single" w:sz="8" w:space="0" w:color="FFFFFF"/>
            </w:tcBorders>
            <w:shd w:val="clear" w:color="auto" w:fill="FFFFFF" w:themeFill="background1"/>
            <w:tcMar>
              <w:top w:w="72" w:type="dxa"/>
              <w:left w:w="144" w:type="dxa"/>
              <w:bottom w:w="72" w:type="dxa"/>
              <w:right w:w="144" w:type="dxa"/>
            </w:tcMar>
          </w:tcPr>
          <w:p w14:paraId="54BC7D4F" w14:textId="2A9B66FE" w:rsidR="000630F4" w:rsidRPr="000630F4" w:rsidRDefault="00E8431F" w:rsidP="000630F4">
            <m:oMath>
              <m:sSub>
                <m:sSubPr>
                  <m:ctrlPr>
                    <w:rPr>
                      <w:rFonts w:ascii="Cambria Math" w:hAnsi="Cambria Math"/>
                      <w:i/>
                    </w:rPr>
                  </m:ctrlPr>
                </m:sSubPr>
                <m:e>
                  <m:r>
                    <w:rPr>
                      <w:rFonts w:ascii="Cambria Math" w:hAnsi="Cambria Math"/>
                    </w:rPr>
                    <m:t>N</m:t>
                  </m:r>
                </m:e>
                <m:sub>
                  <m:r>
                    <w:rPr>
                      <w:rFonts w:ascii="Cambria Math" w:hAnsi="Cambria Math"/>
                    </w:rPr>
                    <m:t>max</m:t>
                  </m:r>
                </m:sub>
              </m:sSub>
              <m:r>
                <w:rPr>
                  <w:rFonts w:ascii="Cambria Math" w:hAnsi="Cambria Math"/>
                </w:rPr>
                <m:t>=66Z-</m:t>
              </m:r>
              <m:sSub>
                <m:sSubPr>
                  <m:ctrlPr>
                    <w:rPr>
                      <w:rFonts w:ascii="Cambria Math" w:hAnsi="Cambria Math"/>
                      <w:i/>
                    </w:rPr>
                  </m:ctrlPr>
                </m:sSubPr>
                <m:e>
                  <m:r>
                    <w:rPr>
                      <w:rFonts w:ascii="Cambria Math" w:hAnsi="Cambria Math"/>
                    </w:rPr>
                    <m:t>N</m:t>
                  </m:r>
                </m:e>
                <m:sub>
                  <m:r>
                    <w:rPr>
                      <w:rFonts w:ascii="Cambria Math" w:hAnsi="Cambria Math"/>
                    </w:rPr>
                    <m:t>F</m:t>
                  </m:r>
                </m:sub>
              </m:sSub>
            </m:oMath>
            <w:r w:rsidR="000630F4">
              <w:t xml:space="preserve"> where</w:t>
            </w:r>
            <w:r w:rsidR="0084456A">
              <w:t xml:space="preserve"> </w:t>
            </w:r>
            <m:oMath>
              <m:r>
                <w:rPr>
                  <w:rFonts w:ascii="Cambria Math" w:hAnsi="Cambria Math"/>
                </w:rPr>
                <m:t>Z</m:t>
              </m:r>
            </m:oMath>
            <w:r w:rsidR="000630F4">
              <w:t xml:space="preserve"> is the lift size and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0630F4">
              <w:t xml:space="preserve"> is the number of shorten</w:t>
            </w:r>
            <w:r w:rsidR="0084456A">
              <w:t>ed bits</w:t>
            </w:r>
            <w:r w:rsidR="000630F4">
              <w:t>.</w:t>
            </w:r>
          </w:p>
        </w:tc>
      </w:tr>
    </w:tbl>
    <w:p w14:paraId="2BFCB07A" w14:textId="77777777" w:rsidR="00CE369B" w:rsidRDefault="00CE369B" w:rsidP="00433E03"/>
    <w:p w14:paraId="5F39B30B" w14:textId="130E243C" w:rsidR="00C516F6" w:rsidRDefault="0084456A" w:rsidP="00433E03">
      <w:r>
        <w:t xml:space="preserve">For these redundancy versions, RV0 is optimized for first transmission and is self-decodable. For the other redundancy versions, they can contain a large portion of parity generated from the diagonal extension. If the </w:t>
      </w:r>
      <w:r w:rsidR="00CE369B">
        <w:t xml:space="preserve">length of </w:t>
      </w:r>
      <m:oMath>
        <m:sSub>
          <m:sSubPr>
            <m:ctrlPr>
              <w:rPr>
                <w:rFonts w:ascii="Cambria Math" w:hAnsi="Cambria Math"/>
                <w:i/>
                <w:iCs/>
              </w:rPr>
            </m:ctrlPr>
          </m:sSubPr>
          <m:e>
            <m:r>
              <w:rPr>
                <w:rFonts w:ascii="Cambria Math" w:hAnsi="Cambria Math"/>
              </w:rPr>
              <m:t>e</m:t>
            </m:r>
          </m:e>
          <m:sub>
            <m:r>
              <w:rPr>
                <w:rFonts w:ascii="Cambria Math" w:hAnsi="Cambria Math"/>
              </w:rPr>
              <m:t>n</m:t>
            </m:r>
          </m:sub>
        </m:sSub>
      </m:oMath>
      <w:r w:rsidR="00CE369B">
        <w:rPr>
          <w:iCs/>
        </w:rPr>
        <w:t xml:space="preserve"> is shorter, then the </w:t>
      </w:r>
      <w:r w:rsidR="00CE369B">
        <w:t>RV</w:t>
      </w:r>
      <w:r>
        <w:t xml:space="preserve"> </w:t>
      </w:r>
      <w:r w:rsidR="00CE369B">
        <w:t>may not be self-decodable on its own since there may be insufficient amount of systematic bits in the RV.</w:t>
      </w:r>
      <w:r w:rsidR="001E1047">
        <w:t xml:space="preserve"> </w:t>
      </w:r>
      <w:r w:rsidR="00C516F6">
        <w:t>Such a situation may arise in cases where the grant is missed on the first transmission.</w:t>
      </w:r>
    </w:p>
    <w:p w14:paraId="6263227E" w14:textId="10D1BBA9" w:rsidR="000630F4" w:rsidRDefault="00680A26" w:rsidP="00433E03">
      <w:pPr>
        <w:rPr>
          <w:iCs/>
        </w:rPr>
      </w:pPr>
      <w:r>
        <w:t xml:space="preserve">A performance example </w:t>
      </w:r>
      <w:r w:rsidR="001E1047">
        <w:t xml:space="preserve">is illustrated in </w:t>
      </w:r>
      <w:r w:rsidR="0047398F">
        <w:fldChar w:fldCharType="begin"/>
      </w:r>
      <w:r w:rsidR="0047398F">
        <w:instrText xml:space="preserve"> REF _Ref490178499 \h </w:instrText>
      </w:r>
      <w:r w:rsidR="0047398F">
        <w:fldChar w:fldCharType="separate"/>
      </w:r>
      <w:r w:rsidR="00870D79">
        <w:t xml:space="preserve">Figure </w:t>
      </w:r>
      <w:r w:rsidR="00870D79">
        <w:rPr>
          <w:noProof/>
        </w:rPr>
        <w:t>3</w:t>
      </w:r>
      <w:r w:rsidR="0047398F">
        <w:fldChar w:fldCharType="end"/>
      </w:r>
      <w:r w:rsidR="0047398F">
        <w:t xml:space="preserve">, </w:t>
      </w:r>
      <w:r>
        <w:t>where</w:t>
      </w:r>
      <w:r w:rsidR="0047398F">
        <w:t xml:space="preserve"> </w:t>
      </w:r>
      <w:r w:rsidR="0047398F" w:rsidRPr="0047398F">
        <w:rPr>
          <w:i/>
        </w:rPr>
        <w:t>K</w:t>
      </w:r>
      <w:r w:rsidR="0047398F">
        <w:t xml:space="preserve">=4224 and several effective code rates </w:t>
      </w:r>
      <w:r w:rsidR="0047398F" w:rsidRPr="0047398F">
        <w:rPr>
          <w:i/>
        </w:rPr>
        <w:t xml:space="preserve">K/L </w:t>
      </w:r>
      <w:r>
        <w:t>are given where</w:t>
      </w:r>
      <w:r w:rsidR="0047398F">
        <w:t xml:space="preserve"> </w:t>
      </w:r>
      <w:r w:rsidR="0047398F" w:rsidRPr="0047398F">
        <w:rPr>
          <w:i/>
        </w:rPr>
        <w:t>L</w:t>
      </w:r>
      <w:r w:rsidR="0047398F">
        <w:t xml:space="preserve"> is the length of the rate matched sequence </w:t>
      </w:r>
      <m:oMath>
        <m:sSub>
          <m:sSubPr>
            <m:ctrlPr>
              <w:rPr>
                <w:rFonts w:ascii="Cambria Math" w:hAnsi="Cambria Math"/>
                <w:i/>
                <w:iCs/>
              </w:rPr>
            </m:ctrlPr>
          </m:sSubPr>
          <m:e>
            <m:r>
              <w:rPr>
                <w:rFonts w:ascii="Cambria Math" w:hAnsi="Cambria Math"/>
              </w:rPr>
              <m:t>e</m:t>
            </m:r>
          </m:e>
          <m:sub>
            <m:r>
              <w:rPr>
                <w:rFonts w:ascii="Cambria Math" w:hAnsi="Cambria Math"/>
              </w:rPr>
              <m:t>n</m:t>
            </m:r>
          </m:sub>
        </m:sSub>
      </m:oMath>
      <w:r w:rsidR="0047398F">
        <w:rPr>
          <w:iCs/>
        </w:rPr>
        <w:t>. The plot shows the req</w:t>
      </w:r>
      <w:r w:rsidR="00C516F6">
        <w:rPr>
          <w:iCs/>
        </w:rPr>
        <w:t>uired Es/No to achieve 1% BLER</w:t>
      </w:r>
      <w:r>
        <w:rPr>
          <w:iCs/>
        </w:rPr>
        <w:t xml:space="preserve"> on AWGN with QPSK</w:t>
      </w:r>
      <w:r w:rsidR="00C516F6">
        <w:rPr>
          <w:iCs/>
        </w:rPr>
        <w:t xml:space="preserve"> when only the RV is received, along with cases where the RV is combined with RV0. Note that points requiring more than 10dB are actually not decodable (BLER does not converge to 1%), and although the sampling of code rates is coarse one can roughly approximate the limiting code rates for each RV. </w:t>
      </w:r>
      <w:r>
        <w:rPr>
          <w:iCs/>
        </w:rPr>
        <w:t>For instance, RV1 has a very low limiting code rate since it contains a small fraction of systematic bits above these rates, while RV3 supports a higher code rate since the wrap around from the circular buffer includes more systematic bits. Correspondingly, when combined with RV0, we find that RV1+RV2 has the lowest amount of coding gain since there is a la</w:t>
      </w:r>
      <w:r w:rsidR="00E530B9">
        <w:rPr>
          <w:iCs/>
        </w:rPr>
        <w:t>rger overlap of systematic bits, while other RVs may combine to give 4-6 dB (or more) at the higher code rates.</w:t>
      </w:r>
    </w:p>
    <w:p w14:paraId="419057EC" w14:textId="24F3D1D0" w:rsidR="005254C5" w:rsidRDefault="005254C5" w:rsidP="00433E03">
      <w:pPr>
        <w:rPr>
          <w:iCs/>
        </w:rPr>
      </w:pPr>
      <w:r>
        <w:rPr>
          <w:iCs/>
        </w:rPr>
        <w:t>Based on the comparative results, for R</w:t>
      </w:r>
      <w:r w:rsidR="003A28E7">
        <w:rPr>
          <w:iCs/>
        </w:rPr>
        <w:t>V0 we have the following proposal to ensure that performance is optimized</w:t>
      </w:r>
      <w:r w:rsidR="003B7E8F">
        <w:rPr>
          <w:iCs/>
        </w:rPr>
        <w:t>.</w:t>
      </w:r>
      <w:r>
        <w:rPr>
          <w:iCs/>
        </w:rPr>
        <w:t xml:space="preserve">  </w:t>
      </w:r>
    </w:p>
    <w:p w14:paraId="63AFE85A" w14:textId="27ECE248" w:rsidR="004C6A0E" w:rsidRDefault="00CC34D7" w:rsidP="00433E03">
      <w:pPr>
        <w:rPr>
          <w:iCs/>
        </w:rPr>
      </w:pPr>
      <w:r w:rsidRPr="002D2B48">
        <w:rPr>
          <w:b/>
          <w:iCs/>
          <w:u w:val="single"/>
        </w:rPr>
        <w:t>Proposal</w:t>
      </w:r>
      <w:r w:rsidR="003363CE" w:rsidRPr="002D2B48">
        <w:rPr>
          <w:b/>
          <w:iCs/>
          <w:u w:val="single"/>
        </w:rPr>
        <w:t xml:space="preserve"> 1</w:t>
      </w:r>
      <w:r w:rsidRPr="002D2B48">
        <w:rPr>
          <w:b/>
          <w:iCs/>
          <w:u w:val="single"/>
        </w:rPr>
        <w:t>:</w:t>
      </w:r>
      <w:r w:rsidRPr="002D2B48">
        <w:rPr>
          <w:iCs/>
        </w:rPr>
        <w:t xml:space="preserve"> The start offset </w:t>
      </w:r>
      <w:r w:rsidR="00D405DE" w:rsidRPr="002D2B48">
        <w:rPr>
          <w:iCs/>
        </w:rPr>
        <w:t xml:space="preserve">into the circular buffer </w:t>
      </w:r>
      <w:r w:rsidRPr="002D2B48">
        <w:rPr>
          <w:iCs/>
        </w:rPr>
        <w:t>for RV</w:t>
      </w:r>
      <w:r w:rsidR="00D405DE" w:rsidRPr="002D2B48">
        <w:rPr>
          <w:iCs/>
        </w:rPr>
        <w:t>0</w:t>
      </w:r>
      <w:r w:rsidRPr="002D2B48">
        <w:rPr>
          <w:iCs/>
        </w:rPr>
        <w:t xml:space="preserve"> should be 0</w:t>
      </w:r>
      <w:r w:rsidR="007925CE">
        <w:rPr>
          <w:iCs/>
        </w:rPr>
        <w:t>.</w:t>
      </w:r>
    </w:p>
    <w:p w14:paraId="755A4CDB" w14:textId="7D191B1D" w:rsidR="004C6A0E" w:rsidRPr="004C6A0E" w:rsidRDefault="004C6A0E" w:rsidP="00433E03">
      <w:pPr>
        <w:rPr>
          <w:iCs/>
        </w:rPr>
      </w:pPr>
      <w:r>
        <w:rPr>
          <w:iCs/>
        </w:rPr>
        <w:t>In the next section, a diagram with the random circul</w:t>
      </w:r>
      <w:r w:rsidR="000B2E6E">
        <w:rPr>
          <w:iCs/>
        </w:rPr>
        <w:t>ar shift per column is provided in Figure 5.</w:t>
      </w:r>
    </w:p>
    <w:p w14:paraId="6431507D" w14:textId="77777777" w:rsidR="001E1047" w:rsidRDefault="001E1047" w:rsidP="0047398F">
      <w:pPr>
        <w:keepNext/>
        <w:jc w:val="center"/>
      </w:pPr>
      <w:r>
        <w:rPr>
          <w:noProof/>
        </w:rPr>
        <w:drawing>
          <wp:inline distT="0" distB="0" distL="0" distR="0" wp14:anchorId="36A04E51" wp14:editId="559309F5">
            <wp:extent cx="5200650" cy="3707523"/>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09606" cy="3713908"/>
                    </a:xfrm>
                    <a:prstGeom prst="rect">
                      <a:avLst/>
                    </a:prstGeom>
                  </pic:spPr>
                </pic:pic>
              </a:graphicData>
            </a:graphic>
          </wp:inline>
        </w:drawing>
      </w:r>
    </w:p>
    <w:p w14:paraId="4DD44B9A" w14:textId="2C442F66" w:rsidR="001E1047" w:rsidRDefault="001E1047" w:rsidP="0047398F">
      <w:pPr>
        <w:pStyle w:val="Caption"/>
        <w:jc w:val="center"/>
      </w:pPr>
      <w:bookmarkStart w:id="6" w:name="_Ref490178499"/>
      <w:r>
        <w:t xml:space="preserve">Figure </w:t>
      </w:r>
      <w:r w:rsidR="00E8431F">
        <w:fldChar w:fldCharType="begin"/>
      </w:r>
      <w:r w:rsidR="00E8431F">
        <w:instrText xml:space="preserve"> SEQ Figure \* ARABIC </w:instrText>
      </w:r>
      <w:r w:rsidR="00E8431F">
        <w:fldChar w:fldCharType="separate"/>
      </w:r>
      <w:r w:rsidR="00870D79">
        <w:rPr>
          <w:noProof/>
        </w:rPr>
        <w:t>3</w:t>
      </w:r>
      <w:r w:rsidR="00E8431F">
        <w:rPr>
          <w:noProof/>
        </w:rPr>
        <w:fldChar w:fldCharType="end"/>
      </w:r>
      <w:bookmarkEnd w:id="6"/>
      <w:r>
        <w:t>. Required Es/No for single RVs and combined RVs</w:t>
      </w:r>
    </w:p>
    <w:p w14:paraId="14AA1BF0" w14:textId="77777777" w:rsidR="00F63398" w:rsidRDefault="00F63398" w:rsidP="00F63398">
      <w:r>
        <w:t xml:space="preserve">The results in </w:t>
      </w:r>
      <w:r>
        <w:fldChar w:fldCharType="begin"/>
      </w:r>
      <w:r>
        <w:instrText xml:space="preserve"> REF _Ref490178499 \h </w:instrText>
      </w:r>
      <w:r>
        <w:fldChar w:fldCharType="separate"/>
      </w:r>
      <w:r>
        <w:t xml:space="preserve">Figure </w:t>
      </w:r>
      <w:r>
        <w:rPr>
          <w:noProof/>
        </w:rPr>
        <w:t>3</w:t>
      </w:r>
      <w:r>
        <w:fldChar w:fldCharType="end"/>
      </w:r>
      <w:r>
        <w:t xml:space="preserve"> should that the best performance occurs when combining RV0 and RV1, i.e. the two RV0 with the least overlap. Therefore, we propose the following:</w:t>
      </w:r>
    </w:p>
    <w:p w14:paraId="4EDB34B2" w14:textId="0A5E8472" w:rsidR="00F63398" w:rsidRPr="00F63398" w:rsidRDefault="00F63398" w:rsidP="00F63398">
      <w:r w:rsidRPr="00F63398">
        <w:rPr>
          <w:b/>
          <w:u w:val="single"/>
        </w:rPr>
        <w:t>Proposal 2</w:t>
      </w:r>
      <w:r>
        <w:t xml:space="preserve">: The optimal RV order should minimize overlap between subsequent </w:t>
      </w:r>
      <w:r w:rsidR="00133D1C">
        <w:t>retransmissions</w:t>
      </w:r>
      <w:r>
        <w:t xml:space="preserve">. </w:t>
      </w:r>
    </w:p>
    <w:p w14:paraId="268A5552" w14:textId="3BD8C946" w:rsidR="00FA1B4D" w:rsidRDefault="00FA1B4D" w:rsidP="00FA1B4D">
      <w:pPr>
        <w:pStyle w:val="Heading1"/>
      </w:pPr>
      <w:r>
        <w:t>Re-ordering for subsequent RVs</w:t>
      </w:r>
    </w:p>
    <w:p w14:paraId="5B002565" w14:textId="3B02059E" w:rsidR="005D465F" w:rsidRDefault="00FA1B4D" w:rsidP="00FA1B4D">
      <w:pPr>
        <w:rPr>
          <w:lang w:val="en-GB"/>
        </w:rPr>
      </w:pPr>
      <w:r>
        <w:rPr>
          <w:lang w:val="en-GB"/>
        </w:rPr>
        <w:t xml:space="preserve">When supporting IR HARQ, the </w:t>
      </w:r>
      <w:r w:rsidR="005D465F">
        <w:rPr>
          <w:lang w:val="en-GB"/>
        </w:rPr>
        <w:t xml:space="preserve">decoding hardware </w:t>
      </w:r>
      <w:r>
        <w:rPr>
          <w:lang w:val="en-GB"/>
        </w:rPr>
        <w:t xml:space="preserve">is nominally provisioned for decoding down to the mother code rate. This is apparent in the nominal RV definition from the previous example. </w:t>
      </w:r>
      <w:r w:rsidR="005D465F">
        <w:rPr>
          <w:lang w:val="en-GB"/>
        </w:rPr>
        <w:t>Therefore, RV definitions for subsequent retransmissions need not have the same contiguous set of systematic bits, but could instead be based on a circular buffer which contains a reordered sequence which more evenly distributes the systematic and parity bits. Such RVs would still be supportable within the same amount of hardware decoding.</w:t>
      </w:r>
    </w:p>
    <w:p w14:paraId="1BFF8706" w14:textId="77777777" w:rsidR="005D465F" w:rsidRDefault="005D465F" w:rsidP="005D465F">
      <w:pPr>
        <w:keepNext/>
        <w:jc w:val="center"/>
      </w:pPr>
      <w:r w:rsidRPr="005D465F">
        <w:object w:dxaOrig="13544" w:dyaOrig="3211" w14:anchorId="5905B3D8">
          <v:shape id="_x0000_i1026" type="#_x0000_t75" style="width:498.15pt;height:118.9pt" o:ole="">
            <v:imagedata r:id="rId17" o:title=""/>
          </v:shape>
          <o:OLEObject Type="Embed" ProgID="Visio.Drawing.11" ShapeID="_x0000_i1026" DrawAspect="Content" ObjectID="_1566674440" r:id="rId18"/>
        </w:object>
      </w:r>
    </w:p>
    <w:p w14:paraId="579E54CA" w14:textId="7233369A" w:rsidR="005D465F" w:rsidRDefault="005D465F" w:rsidP="005D465F">
      <w:pPr>
        <w:pStyle w:val="Caption"/>
        <w:jc w:val="center"/>
      </w:pPr>
      <w:r>
        <w:t xml:space="preserve">Figure </w:t>
      </w:r>
      <w:r w:rsidR="00E8431F">
        <w:fldChar w:fldCharType="begin"/>
      </w:r>
      <w:r w:rsidR="00E8431F">
        <w:instrText xml:space="preserve"> SEQ Figure \* ARABIC </w:instrText>
      </w:r>
      <w:r w:rsidR="00E8431F">
        <w:fldChar w:fldCharType="separate"/>
      </w:r>
      <w:r w:rsidR="00870D79">
        <w:rPr>
          <w:noProof/>
        </w:rPr>
        <w:t>4</w:t>
      </w:r>
      <w:r w:rsidR="00E8431F">
        <w:rPr>
          <w:noProof/>
        </w:rPr>
        <w:fldChar w:fldCharType="end"/>
      </w:r>
      <w:r>
        <w:t>. Coding chain with re-ordering for subsequent RVs</w:t>
      </w:r>
    </w:p>
    <w:p w14:paraId="779753AF" w14:textId="77777777" w:rsidR="006F1734" w:rsidRPr="006F1734" w:rsidRDefault="006F1734" w:rsidP="006F1734"/>
    <w:p w14:paraId="237DA7DE" w14:textId="611D269A" w:rsidR="005D465F" w:rsidRDefault="005D465F" w:rsidP="00FA1B4D">
      <w:pPr>
        <w:rPr>
          <w:lang w:val="en-GB"/>
        </w:rPr>
      </w:pPr>
      <w:r>
        <w:rPr>
          <w:lang w:val="en-GB"/>
        </w:rPr>
        <w:t xml:space="preserve">Let us consider the following re-ordering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k</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π(k)</m:t>
            </m:r>
          </m:sub>
        </m:sSub>
      </m:oMath>
      <w:r>
        <w:rPr>
          <w:lang w:val="en-GB"/>
        </w:rPr>
        <w:t xml:space="preserve"> which more evenly distributes the bit types in the circular buffer</w:t>
      </w:r>
      <w:r w:rsidR="006F1734">
        <w:rPr>
          <w:lang w:val="en-GB"/>
        </w:rPr>
        <w:t>,</w:t>
      </w:r>
      <w:r>
        <w:rPr>
          <w:lang w:val="en-GB"/>
        </w:rPr>
        <w:t xml:space="preserve"> by first applying a random circular shift per column, followed by a ro</w:t>
      </w:r>
      <w:r w:rsidR="006F1734">
        <w:rPr>
          <w:lang w:val="en-GB"/>
        </w:rPr>
        <w:t>w-column interleaving</w:t>
      </w:r>
      <w:r>
        <w:rPr>
          <w:lang w:val="en-GB"/>
        </w:rPr>
        <w:t xml:space="preserve">. </w:t>
      </w:r>
      <w:r w:rsidR="006F1734">
        <w:rPr>
          <w:lang w:val="en-GB"/>
        </w:rPr>
        <w:t xml:space="preserve">This is depicted below, and referred to as a </w:t>
      </w:r>
      <w:r w:rsidR="00E92A11">
        <w:rPr>
          <w:i/>
          <w:lang w:val="en-GB"/>
        </w:rPr>
        <w:t>distributed-</w:t>
      </w:r>
      <w:r w:rsidR="006F1734" w:rsidRPr="006F1734">
        <w:rPr>
          <w:i/>
          <w:lang w:val="en-GB"/>
        </w:rPr>
        <w:t>edge-type</w:t>
      </w:r>
      <w:r w:rsidR="00E92A11">
        <w:rPr>
          <w:i/>
          <w:lang w:val="en-GB"/>
        </w:rPr>
        <w:t xml:space="preserve"> </w:t>
      </w:r>
      <w:r w:rsidR="006F1734" w:rsidRPr="006F1734">
        <w:rPr>
          <w:i/>
          <w:lang w:val="en-GB"/>
        </w:rPr>
        <w:t>reordering</w:t>
      </w:r>
      <w:r w:rsidR="006F1734">
        <w:rPr>
          <w:lang w:val="en-GB"/>
        </w:rPr>
        <w:t xml:space="preserve">. </w:t>
      </w:r>
      <w:r w:rsidR="008436D1">
        <w:rPr>
          <w:lang w:val="en-GB"/>
        </w:rPr>
        <w:t>Note that the random circular shift per column can be absorbed into the encoding step before shortening.</w:t>
      </w:r>
    </w:p>
    <w:p w14:paraId="00353372" w14:textId="77777777" w:rsidR="006F1734" w:rsidRDefault="005D465F" w:rsidP="006F1734">
      <w:pPr>
        <w:keepNext/>
        <w:jc w:val="center"/>
      </w:pPr>
      <w:r>
        <w:rPr>
          <w:noProof/>
        </w:rPr>
        <w:drawing>
          <wp:inline distT="0" distB="0" distL="0" distR="0" wp14:anchorId="0B750610" wp14:editId="38D57417">
            <wp:extent cx="6332220" cy="25006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332220" cy="2500630"/>
                    </a:xfrm>
                    <a:prstGeom prst="rect">
                      <a:avLst/>
                    </a:prstGeom>
                  </pic:spPr>
                </pic:pic>
              </a:graphicData>
            </a:graphic>
          </wp:inline>
        </w:drawing>
      </w:r>
    </w:p>
    <w:p w14:paraId="69B0A48F" w14:textId="17126397" w:rsidR="005D465F" w:rsidRDefault="006F1734" w:rsidP="006F1734">
      <w:pPr>
        <w:pStyle w:val="Caption"/>
        <w:jc w:val="center"/>
        <w:rPr>
          <w:lang w:val="en-GB"/>
        </w:rPr>
      </w:pPr>
      <w:r>
        <w:t xml:space="preserve">Figure </w:t>
      </w:r>
      <w:r w:rsidR="00E8431F">
        <w:fldChar w:fldCharType="begin"/>
      </w:r>
      <w:r w:rsidR="00E8431F">
        <w:instrText xml:space="preserve"> SEQ Figure \* ARABIC </w:instrText>
      </w:r>
      <w:r w:rsidR="00E8431F">
        <w:fldChar w:fldCharType="separate"/>
      </w:r>
      <w:r w:rsidR="00870D79">
        <w:rPr>
          <w:noProof/>
        </w:rPr>
        <w:t>5</w:t>
      </w:r>
      <w:r w:rsidR="00E8431F">
        <w:rPr>
          <w:noProof/>
        </w:rPr>
        <w:fldChar w:fldCharType="end"/>
      </w:r>
      <w:r>
        <w:t>. Re-ordering for subsequent RVs</w:t>
      </w:r>
      <w:r w:rsidR="00D92B26">
        <w:t xml:space="preserve"> to distribute edge types into circular buffer</w:t>
      </w:r>
    </w:p>
    <w:p w14:paraId="327AB925" w14:textId="2A16CFCC" w:rsidR="00FA1B4D" w:rsidRPr="001D3CF9" w:rsidRDefault="00E530B9" w:rsidP="00FA1B4D">
      <w:pPr>
        <w:rPr>
          <w:lang w:val="en-GB"/>
        </w:rPr>
      </w:pPr>
      <w:r>
        <w:rPr>
          <w:lang w:val="en-GB"/>
        </w:rPr>
        <w:t>These re-orderings can then provide better reliability for subsequent RVs while</w:t>
      </w:r>
      <w:r w:rsidR="00563F4A">
        <w:rPr>
          <w:lang w:val="en-GB"/>
        </w:rPr>
        <w:t xml:space="preserve"> still</w:t>
      </w:r>
      <w:r>
        <w:rPr>
          <w:lang w:val="en-GB"/>
        </w:rPr>
        <w:t xml:space="preserve"> providing a good </w:t>
      </w:r>
      <w:r w:rsidR="003E7628">
        <w:rPr>
          <w:lang w:val="en-GB"/>
        </w:rPr>
        <w:t>IR</w:t>
      </w:r>
      <w:r>
        <w:rPr>
          <w:lang w:val="en-GB"/>
        </w:rPr>
        <w:t xml:space="preserve"> HARQ combining gain</w:t>
      </w:r>
      <w:r w:rsidR="003E7628">
        <w:rPr>
          <w:lang w:val="en-GB"/>
        </w:rPr>
        <w:t xml:space="preserve"> beyond chase combining</w:t>
      </w:r>
      <w:r>
        <w:rPr>
          <w:lang w:val="en-GB"/>
        </w:rPr>
        <w:t>.</w:t>
      </w:r>
      <w:r w:rsidR="00E26BDB" w:rsidRPr="00E26BDB">
        <w:rPr>
          <w:lang w:val="en-GB"/>
        </w:rPr>
        <w:t xml:space="preserve"> </w:t>
      </w:r>
      <w:r w:rsidR="00E26BDB">
        <w:rPr>
          <w:lang w:val="en-GB"/>
        </w:rPr>
        <w:t>The performance from introducing this is shown below.</w:t>
      </w:r>
      <w:r>
        <w:rPr>
          <w:lang w:val="en-GB"/>
        </w:rPr>
        <w:t xml:space="preserve"> </w:t>
      </w:r>
      <w:r w:rsidR="00E26BDB">
        <w:rPr>
          <w:lang w:val="en-GB"/>
        </w:rPr>
        <w:t>Moreover, combining re-ordered RVs can still provide the maximum IR HARQ combining gain if desired, with tradeoffs on first transmission rate performance</w:t>
      </w:r>
      <w:r w:rsidR="00787D57">
        <w:rPr>
          <w:lang w:val="en-GB"/>
        </w:rPr>
        <w:t>.</w:t>
      </w:r>
      <w:r w:rsidR="00BF477C">
        <w:rPr>
          <w:lang w:val="en-GB"/>
        </w:rPr>
        <w:t xml:space="preserve"> Note that the re-ordering is generic to any coded sequence length based on its structure, so the depth can be adjusted to smaller circular buffer sizes readily in the case of limited buffer rate matching.</w:t>
      </w:r>
    </w:p>
    <w:p w14:paraId="318098B3" w14:textId="63BB7EC5" w:rsidR="001D3CF9" w:rsidRPr="001D3CF9" w:rsidRDefault="00606BAB" w:rsidP="001D3CF9">
      <w:pPr>
        <w:keepNext/>
        <w:jc w:val="center"/>
      </w:pPr>
      <w:r>
        <w:rPr>
          <w:noProof/>
        </w:rPr>
        <w:drawing>
          <wp:inline distT="0" distB="0" distL="0" distR="0" wp14:anchorId="2AFB28C7" wp14:editId="0EB09A99">
            <wp:extent cx="6332220" cy="4394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332220" cy="4394200"/>
                    </a:xfrm>
                    <a:prstGeom prst="rect">
                      <a:avLst/>
                    </a:prstGeom>
                  </pic:spPr>
                </pic:pic>
              </a:graphicData>
            </a:graphic>
          </wp:inline>
        </w:drawing>
      </w:r>
    </w:p>
    <w:p w14:paraId="56525F03" w14:textId="561E3FF2" w:rsidR="00BA4FDC" w:rsidRDefault="001D3CF9" w:rsidP="001D3CF9">
      <w:pPr>
        <w:pStyle w:val="Caption"/>
        <w:jc w:val="center"/>
      </w:pPr>
      <w:bookmarkStart w:id="7" w:name="_Ref492932182"/>
      <w:r w:rsidRPr="001D3CF9">
        <w:t xml:space="preserve">Figure </w:t>
      </w:r>
      <w:r w:rsidR="00E8431F">
        <w:fldChar w:fldCharType="begin"/>
      </w:r>
      <w:r w:rsidR="00E8431F">
        <w:instrText xml:space="preserve"> SEQ Figure \* ARABIC </w:instrText>
      </w:r>
      <w:r w:rsidR="00E8431F">
        <w:fldChar w:fldCharType="separate"/>
      </w:r>
      <w:r w:rsidR="00870D79">
        <w:rPr>
          <w:noProof/>
        </w:rPr>
        <w:t>6</w:t>
      </w:r>
      <w:r w:rsidR="00E8431F">
        <w:rPr>
          <w:noProof/>
        </w:rPr>
        <w:fldChar w:fldCharType="end"/>
      </w:r>
      <w:bookmarkEnd w:id="7"/>
      <w:r w:rsidRPr="001D3CF9">
        <w:t>. Performance with single RVs and combined RVs (with re-ordering)</w:t>
      </w:r>
    </w:p>
    <w:p w14:paraId="50BE0973" w14:textId="0F3C7D91" w:rsidR="0041204C" w:rsidRDefault="00E50A5A" w:rsidP="001B67ED">
      <w:pPr>
        <w:rPr>
          <w:iCs/>
        </w:rPr>
      </w:pPr>
      <w:r>
        <w:rPr>
          <w:b/>
          <w:iCs/>
          <w:u w:val="single"/>
        </w:rPr>
        <w:t>Proposal</w:t>
      </w:r>
      <w:r w:rsidR="003363CE">
        <w:rPr>
          <w:b/>
          <w:iCs/>
          <w:u w:val="single"/>
        </w:rPr>
        <w:t xml:space="preserve"> </w:t>
      </w:r>
      <w:r w:rsidR="007925CE">
        <w:rPr>
          <w:b/>
          <w:iCs/>
          <w:u w:val="single"/>
        </w:rPr>
        <w:t>3</w:t>
      </w:r>
      <w:r w:rsidRPr="00CC34D7">
        <w:rPr>
          <w:b/>
          <w:iCs/>
          <w:u w:val="single"/>
        </w:rPr>
        <w:t>:</w:t>
      </w:r>
      <w:r>
        <w:rPr>
          <w:iCs/>
        </w:rPr>
        <w:t xml:space="preserve"> </w:t>
      </w:r>
      <w:r w:rsidR="00172D01">
        <w:rPr>
          <w:i/>
          <w:lang w:val="en-GB"/>
        </w:rPr>
        <w:t>D</w:t>
      </w:r>
      <w:r>
        <w:rPr>
          <w:i/>
          <w:lang w:val="en-GB"/>
        </w:rPr>
        <w:t>istributed-</w:t>
      </w:r>
      <w:r w:rsidRPr="006F1734">
        <w:rPr>
          <w:i/>
          <w:lang w:val="en-GB"/>
        </w:rPr>
        <w:t>edge-type</w:t>
      </w:r>
      <w:r>
        <w:rPr>
          <w:i/>
          <w:lang w:val="en-GB"/>
        </w:rPr>
        <w:t xml:space="preserve"> </w:t>
      </w:r>
      <w:r w:rsidRPr="006F1734">
        <w:rPr>
          <w:i/>
          <w:lang w:val="en-GB"/>
        </w:rPr>
        <w:t>reordering</w:t>
      </w:r>
      <w:r>
        <w:rPr>
          <w:iCs/>
        </w:rPr>
        <w:t xml:space="preserve"> (as described in Figure 5) </w:t>
      </w:r>
      <w:r w:rsidR="00172D01">
        <w:rPr>
          <w:iCs/>
        </w:rPr>
        <w:t xml:space="preserve">should be considered </w:t>
      </w:r>
      <w:r>
        <w:rPr>
          <w:iCs/>
        </w:rPr>
        <w:t>to improve self-decodability for subsequent RVs after RV0</w:t>
      </w:r>
      <w:r w:rsidR="00172D01">
        <w:rPr>
          <w:iCs/>
        </w:rPr>
        <w:t>. The depth of the re-ordering should never exceed the depth of the buffer sized selected for limited buffer rate matching.</w:t>
      </w:r>
    </w:p>
    <w:p w14:paraId="1EA9CCBD" w14:textId="695E35B2" w:rsidR="00044B93" w:rsidRPr="00172D01" w:rsidRDefault="003355DA" w:rsidP="001B67ED">
      <w:pPr>
        <w:rPr>
          <w:b/>
        </w:rPr>
      </w:pPr>
      <w:r>
        <w:rPr>
          <w:iCs/>
        </w:rPr>
        <w:t>The b</w:t>
      </w:r>
      <w:r w:rsidR="00044B93">
        <w:rPr>
          <w:iCs/>
        </w:rPr>
        <w:t xml:space="preserve">it-reordering </w:t>
      </w:r>
      <w:r>
        <w:rPr>
          <w:iCs/>
        </w:rPr>
        <w:t xml:space="preserve">pattern </w:t>
      </w:r>
      <w:r w:rsidR="00044B93">
        <w:rPr>
          <w:iCs/>
        </w:rPr>
        <w:t xml:space="preserve">used to generate the BG1 results for K = 4224 </w:t>
      </w:r>
      <w:r>
        <w:rPr>
          <w:iCs/>
        </w:rPr>
        <w:t xml:space="preserve">in </w:t>
      </w:r>
      <w:r>
        <w:rPr>
          <w:iCs/>
        </w:rPr>
        <w:fldChar w:fldCharType="begin"/>
      </w:r>
      <w:r>
        <w:rPr>
          <w:iCs/>
        </w:rPr>
        <w:instrText xml:space="preserve"> REF _Ref492932182 \h </w:instrText>
      </w:r>
      <w:r>
        <w:rPr>
          <w:iCs/>
        </w:rPr>
      </w:r>
      <w:r>
        <w:rPr>
          <w:iCs/>
        </w:rPr>
        <w:fldChar w:fldCharType="separate"/>
      </w:r>
      <w:r w:rsidRPr="001D3CF9">
        <w:t xml:space="preserve">Figure </w:t>
      </w:r>
      <w:r>
        <w:rPr>
          <w:noProof/>
        </w:rPr>
        <w:t>6</w:t>
      </w:r>
      <w:r>
        <w:rPr>
          <w:iCs/>
        </w:rPr>
        <w:fldChar w:fldCharType="end"/>
      </w:r>
      <w:r>
        <w:rPr>
          <w:iCs/>
        </w:rPr>
        <w:t xml:space="preserve"> is provided as part of this contribution in a separate file </w:t>
      </w:r>
      <w:r w:rsidR="00736DB7">
        <w:rPr>
          <w:iCs/>
        </w:rPr>
        <w:fldChar w:fldCharType="begin"/>
      </w:r>
      <w:r w:rsidR="00736DB7">
        <w:rPr>
          <w:iCs/>
        </w:rPr>
        <w:instrText xml:space="preserve"> REF _Ref492932315 \r \h </w:instrText>
      </w:r>
      <w:r w:rsidR="00736DB7">
        <w:rPr>
          <w:iCs/>
        </w:rPr>
      </w:r>
      <w:r w:rsidR="00736DB7">
        <w:rPr>
          <w:iCs/>
        </w:rPr>
        <w:fldChar w:fldCharType="separate"/>
      </w:r>
      <w:r w:rsidR="00736DB7">
        <w:rPr>
          <w:iCs/>
        </w:rPr>
        <w:t>[5]</w:t>
      </w:r>
      <w:r w:rsidR="00736DB7">
        <w:rPr>
          <w:iCs/>
        </w:rPr>
        <w:fldChar w:fldCharType="end"/>
      </w:r>
      <w:r w:rsidR="00736DB7">
        <w:rPr>
          <w:iCs/>
        </w:rPr>
        <w:t>.</w:t>
      </w:r>
    </w:p>
    <w:p w14:paraId="5F5C0007" w14:textId="6A887F17" w:rsidR="001C5620" w:rsidRDefault="001C5620" w:rsidP="002552A7">
      <w:pPr>
        <w:pStyle w:val="Heading1"/>
      </w:pPr>
      <w:r>
        <w:t>Reverse-mapping for modulation</w:t>
      </w:r>
    </w:p>
    <w:p w14:paraId="118097BC" w14:textId="6C671644" w:rsidR="001C5620" w:rsidRDefault="00481A8B" w:rsidP="001C5620">
      <w:pPr>
        <w:rPr>
          <w:lang w:val="en-GB"/>
        </w:rPr>
      </w:pPr>
      <w:r>
        <w:rPr>
          <w:lang w:val="en-GB"/>
        </w:rPr>
        <w:t>When employing</w:t>
      </w:r>
      <w:r w:rsidR="001C5620">
        <w:rPr>
          <w:lang w:val="en-GB"/>
        </w:rPr>
        <w:t xml:space="preserve"> chase combining of log-likelihood ratios result</w:t>
      </w:r>
      <w:r w:rsidR="00533088">
        <w:rPr>
          <w:lang w:val="en-GB"/>
        </w:rPr>
        <w:t>ing</w:t>
      </w:r>
      <w:r w:rsidR="001C5620">
        <w:rPr>
          <w:lang w:val="en-GB"/>
        </w:rPr>
        <w:t xml:space="preserve"> </w:t>
      </w:r>
      <w:r w:rsidR="00533088">
        <w:rPr>
          <w:lang w:val="en-GB"/>
        </w:rPr>
        <w:t xml:space="preserve">from the </w:t>
      </w:r>
      <w:r w:rsidR="001C5620">
        <w:rPr>
          <w:lang w:val="en-GB"/>
        </w:rPr>
        <w:t>circular buffer</w:t>
      </w:r>
      <w:r w:rsidR="00D42BD5">
        <w:rPr>
          <w:lang w:val="en-GB"/>
        </w:rPr>
        <w:t xml:space="preserve"> implementation</w:t>
      </w:r>
      <w:r w:rsidR="001C5620">
        <w:rPr>
          <w:lang w:val="en-GB"/>
        </w:rPr>
        <w:t>, particular</w:t>
      </w:r>
      <w:r w:rsidR="0075210F">
        <w:rPr>
          <w:lang w:val="en-GB"/>
        </w:rPr>
        <w:t>ly</w:t>
      </w:r>
      <w:r w:rsidR="001C5620">
        <w:rPr>
          <w:lang w:val="en-GB"/>
        </w:rPr>
        <w:t xml:space="preserve"> when operating under limited buffer rate matching, it can be advantageous to consider </w:t>
      </w:r>
      <w:r w:rsidR="001C5620" w:rsidRPr="00201545">
        <w:rPr>
          <w:i/>
          <w:lang w:val="en-GB"/>
        </w:rPr>
        <w:t>reverse-mapping</w:t>
      </w:r>
      <w:r w:rsidR="001C5620">
        <w:rPr>
          <w:lang w:val="en-GB"/>
        </w:rPr>
        <w:t xml:space="preserve"> the bi</w:t>
      </w:r>
      <w:r w:rsidR="008F78D3">
        <w:rPr>
          <w:lang w:val="en-GB"/>
        </w:rPr>
        <w:t xml:space="preserve">ts onto the modulation symbols. At the peak data rate, very high order modulation is in use and the difference in reliability across the LSBs and MSBs of the modulator mapping can be larger. Therefore, for subsequent retransmissions it can be beneficial for coded bits that were transmitted on LSBs </w:t>
      </w:r>
      <w:r w:rsidR="006B2834">
        <w:rPr>
          <w:lang w:val="en-GB"/>
        </w:rPr>
        <w:t>for</w:t>
      </w:r>
      <w:r w:rsidR="008F78D3">
        <w:rPr>
          <w:lang w:val="en-GB"/>
        </w:rPr>
        <w:t xml:space="preserve"> the 1</w:t>
      </w:r>
      <w:r w:rsidR="008F78D3" w:rsidRPr="008F78D3">
        <w:rPr>
          <w:vertAlign w:val="superscript"/>
          <w:lang w:val="en-GB"/>
        </w:rPr>
        <w:t>st</w:t>
      </w:r>
      <w:r w:rsidR="008F78D3">
        <w:rPr>
          <w:lang w:val="en-GB"/>
        </w:rPr>
        <w:t xml:space="preserve"> transmission to be mapped to MSBs if they are repeated on the 2</w:t>
      </w:r>
      <w:r w:rsidR="008F78D3" w:rsidRPr="008F78D3">
        <w:rPr>
          <w:vertAlign w:val="superscript"/>
          <w:lang w:val="en-GB"/>
        </w:rPr>
        <w:t>nd</w:t>
      </w:r>
      <w:r w:rsidR="008F78D3">
        <w:rPr>
          <w:lang w:val="en-GB"/>
        </w:rPr>
        <w:t xml:space="preserve"> transmission.</w:t>
      </w:r>
      <w:r w:rsidR="00201545">
        <w:rPr>
          <w:lang w:val="en-GB"/>
        </w:rPr>
        <w:t xml:space="preserve"> We refer to this as reverse-mapping.</w:t>
      </w:r>
    </w:p>
    <w:p w14:paraId="547355B2" w14:textId="09090195" w:rsidR="009B1D8F" w:rsidRDefault="00480D6A" w:rsidP="001C5620">
      <w:pPr>
        <w:rPr>
          <w:lang w:val="en-GB"/>
        </w:rPr>
      </w:pPr>
      <w:r>
        <w:rPr>
          <w:lang w:val="en-GB"/>
        </w:rPr>
        <w:t xml:space="preserve">Below </w:t>
      </w:r>
      <w:r w:rsidR="00B33A38">
        <w:rPr>
          <w:lang w:val="en-GB"/>
        </w:rPr>
        <w:t>provides</w:t>
      </w:r>
      <w:r>
        <w:rPr>
          <w:lang w:val="en-GB"/>
        </w:rPr>
        <w:t xml:space="preserve"> an illustration of the potential performance gains when there is a high code rate</w:t>
      </w:r>
      <w:r w:rsidR="006D4B66">
        <w:rPr>
          <w:lang w:val="en-GB"/>
        </w:rPr>
        <w:t xml:space="preserve"> of 0.8</w:t>
      </w:r>
      <w:r w:rsidR="008B7776">
        <w:rPr>
          <w:lang w:val="en-GB"/>
        </w:rPr>
        <w:t>3</w:t>
      </w:r>
      <w:r w:rsidR="006D4B66">
        <w:rPr>
          <w:lang w:val="en-GB"/>
        </w:rPr>
        <w:t xml:space="preserve"> on the</w:t>
      </w:r>
      <w:r>
        <w:rPr>
          <w:lang w:val="en-GB"/>
        </w:rPr>
        <w:t xml:space="preserve"> 1</w:t>
      </w:r>
      <w:r w:rsidRPr="00480D6A">
        <w:rPr>
          <w:vertAlign w:val="superscript"/>
          <w:lang w:val="en-GB"/>
        </w:rPr>
        <w:t>st</w:t>
      </w:r>
      <w:r>
        <w:rPr>
          <w:lang w:val="en-GB"/>
        </w:rPr>
        <w:t xml:space="preserve"> transmission</w:t>
      </w:r>
      <w:r w:rsidR="006D4B66">
        <w:rPr>
          <w:lang w:val="en-GB"/>
        </w:rPr>
        <w:t>, followed by a retransmission from a circular buffer</w:t>
      </w:r>
      <w:r>
        <w:rPr>
          <w:lang w:val="en-GB"/>
        </w:rPr>
        <w:t xml:space="preserve"> which is limited to mother code rate of 2/3</w:t>
      </w:r>
      <w:r w:rsidR="006D4B66">
        <w:rPr>
          <w:lang w:val="en-GB"/>
        </w:rPr>
        <w:t>.</w:t>
      </w:r>
      <w:r w:rsidR="00DE0F41">
        <w:rPr>
          <w:lang w:val="en-GB"/>
        </w:rPr>
        <w:t xml:space="preserve"> The 2</w:t>
      </w:r>
      <w:r w:rsidR="00DE0F41" w:rsidRPr="00DE0F41">
        <w:rPr>
          <w:vertAlign w:val="superscript"/>
          <w:lang w:val="en-GB"/>
        </w:rPr>
        <w:t>nd</w:t>
      </w:r>
      <w:r w:rsidR="00DE0F41">
        <w:rPr>
          <w:lang w:val="en-GB"/>
        </w:rPr>
        <w:t xml:space="preserve"> retransmission is assumed to have the same number of coded bits as the 1</w:t>
      </w:r>
      <w:r w:rsidR="00DE0F41" w:rsidRPr="00DE0F41">
        <w:rPr>
          <w:vertAlign w:val="superscript"/>
          <w:lang w:val="en-GB"/>
        </w:rPr>
        <w:t>st</w:t>
      </w:r>
      <w:r w:rsidR="002552A7">
        <w:rPr>
          <w:lang w:val="en-GB"/>
        </w:rPr>
        <w:t xml:space="preserve"> transmission, the</w:t>
      </w:r>
      <w:r w:rsidR="00DE0A19">
        <w:rPr>
          <w:lang w:val="en-GB"/>
        </w:rPr>
        <w:t>n</w:t>
      </w:r>
      <w:r w:rsidR="002552A7">
        <w:rPr>
          <w:lang w:val="en-GB"/>
        </w:rPr>
        <w:t xml:space="preserve"> a reverse mapping is applied to </w:t>
      </w:r>
      <w:r w:rsidR="001C6130">
        <w:rPr>
          <w:lang w:val="en-GB"/>
        </w:rPr>
        <w:t xml:space="preserve">any </w:t>
      </w:r>
      <w:r w:rsidR="00DE0A19">
        <w:rPr>
          <w:lang w:val="en-GB"/>
        </w:rPr>
        <w:t>systematic bits which participate in the wraparound. This ensures that the systematic bits that are repeated can have complementary bit reliabilities on the QAM symbols, e.g., LSB + MSB.</w:t>
      </w:r>
    </w:p>
    <w:p w14:paraId="398E649B" w14:textId="3029F631" w:rsidR="00C36897" w:rsidRDefault="00C36897" w:rsidP="001C5620">
      <w:pPr>
        <w:rPr>
          <w:lang w:val="en-GB"/>
        </w:rPr>
      </w:pPr>
      <w:r>
        <w:rPr>
          <w:lang w:val="en-GB"/>
        </w:rPr>
        <w:t>Note that these results are not with the final NR LDPC, but were taken from [3]. The gains of reverse-mapping with the latest LDPC will be re-evaluated with the latest codes, though are expected to still be significant.</w:t>
      </w:r>
    </w:p>
    <w:p w14:paraId="6C9C34C2" w14:textId="1C19B537" w:rsidR="00B33A38" w:rsidRDefault="008C00D3" w:rsidP="00B33A38">
      <w:pPr>
        <w:keepNext/>
        <w:jc w:val="center"/>
      </w:pPr>
      <w:r w:rsidRPr="008C00D3">
        <w:rPr>
          <w:noProof/>
        </w:rPr>
        <w:drawing>
          <wp:inline distT="0" distB="0" distL="0" distR="0" wp14:anchorId="71683D4A" wp14:editId="57CE3024">
            <wp:extent cx="6086475"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6475" cy="3657600"/>
                    </a:xfrm>
                    <a:prstGeom prst="rect">
                      <a:avLst/>
                    </a:prstGeom>
                    <a:noFill/>
                    <a:ln>
                      <a:noFill/>
                    </a:ln>
                  </pic:spPr>
                </pic:pic>
              </a:graphicData>
            </a:graphic>
          </wp:inline>
        </w:drawing>
      </w:r>
    </w:p>
    <w:p w14:paraId="6614ADD9" w14:textId="4E3B78D8" w:rsidR="00B33A38" w:rsidRDefault="00B33A38" w:rsidP="00B33A38">
      <w:pPr>
        <w:pStyle w:val="Caption"/>
        <w:jc w:val="center"/>
      </w:pPr>
      <w:r>
        <w:t xml:space="preserve">Figure </w:t>
      </w:r>
      <w:r w:rsidR="00E8431F">
        <w:fldChar w:fldCharType="begin"/>
      </w:r>
      <w:r w:rsidR="00E8431F">
        <w:instrText xml:space="preserve"> SEQ Figure \* ARABIC </w:instrText>
      </w:r>
      <w:r w:rsidR="00E8431F">
        <w:fldChar w:fldCharType="separate"/>
      </w:r>
      <w:r w:rsidR="00870D79">
        <w:rPr>
          <w:noProof/>
        </w:rPr>
        <w:t>7</w:t>
      </w:r>
      <w:r w:rsidR="00E8431F">
        <w:rPr>
          <w:noProof/>
        </w:rPr>
        <w:fldChar w:fldCharType="end"/>
      </w:r>
      <w:r>
        <w:t xml:space="preserve">. Performance with reverse-mapping </w:t>
      </w:r>
      <w:r w:rsidR="00872825">
        <w:t>on</w:t>
      </w:r>
      <w:r>
        <w:t xml:space="preserve"> 256-QAM and 2/3 minimum code rate</w:t>
      </w:r>
      <w:r w:rsidR="00872825">
        <w:t xml:space="preserve"> on circular buffer</w:t>
      </w:r>
      <w:r w:rsidR="00C900B2">
        <w:t xml:space="preserve"> from</w:t>
      </w:r>
      <w:r w:rsidR="00C36897">
        <w:t xml:space="preserve"> [3]</w:t>
      </w:r>
      <w:r w:rsidR="00C900B2">
        <w:t xml:space="preserve"> </w:t>
      </w:r>
    </w:p>
    <w:p w14:paraId="59942C3E" w14:textId="77777777" w:rsidR="00B26C02" w:rsidRDefault="00B26C02" w:rsidP="00B26C02">
      <w:pPr>
        <w:rPr>
          <w:b/>
          <w:lang w:val="en-GB"/>
        </w:rPr>
      </w:pPr>
    </w:p>
    <w:p w14:paraId="2A83DCB3" w14:textId="4EFF97AC" w:rsidR="00D95BFB" w:rsidRPr="00592573" w:rsidRDefault="002552A7" w:rsidP="00D95BFB">
      <w:pPr>
        <w:rPr>
          <w:b/>
          <w:lang w:val="en-GB"/>
        </w:rPr>
      </w:pPr>
      <w:r>
        <w:rPr>
          <w:b/>
          <w:u w:val="single"/>
          <w:lang w:val="en-GB"/>
        </w:rPr>
        <w:t xml:space="preserve">Proposal </w:t>
      </w:r>
      <w:r w:rsidR="007925CE">
        <w:rPr>
          <w:b/>
          <w:u w:val="single"/>
          <w:lang w:val="en-GB"/>
        </w:rPr>
        <w:t>4</w:t>
      </w:r>
      <w:r w:rsidR="00D95BFB" w:rsidRPr="00B26C02">
        <w:rPr>
          <w:b/>
          <w:u w:val="single"/>
          <w:lang w:val="en-GB"/>
        </w:rPr>
        <w:t>:</w:t>
      </w:r>
      <w:r w:rsidR="00D95BFB">
        <w:rPr>
          <w:b/>
          <w:lang w:val="en-GB"/>
        </w:rPr>
        <w:t xml:space="preserve"> </w:t>
      </w:r>
      <w:r w:rsidR="00D95BFB">
        <w:rPr>
          <w:lang w:val="en-GB"/>
        </w:rPr>
        <w:t>Reverse-mapping of coded bits on to modulation symbols, between 1</w:t>
      </w:r>
      <w:r w:rsidR="00D95BFB" w:rsidRPr="00B26C02">
        <w:rPr>
          <w:vertAlign w:val="superscript"/>
          <w:lang w:val="en-GB"/>
        </w:rPr>
        <w:t>st</w:t>
      </w:r>
      <w:r w:rsidR="00D95BFB">
        <w:rPr>
          <w:lang w:val="en-GB"/>
        </w:rPr>
        <w:t xml:space="preserve"> transmission and any repetition in subsequent transmissions, should be considered when applying limited buffer rate matching.</w:t>
      </w:r>
    </w:p>
    <w:p w14:paraId="43B7F891" w14:textId="2CD3605A" w:rsidR="004503F9" w:rsidRDefault="004503F9" w:rsidP="004503F9">
      <w:pPr>
        <w:pStyle w:val="Heading1"/>
        <w:rPr>
          <w:lang w:eastAsia="zh-CN"/>
        </w:rPr>
      </w:pPr>
      <w:r>
        <w:rPr>
          <w:lang w:eastAsia="zh-CN"/>
        </w:rPr>
        <w:t>Conclusions</w:t>
      </w:r>
    </w:p>
    <w:p w14:paraId="51E6F927" w14:textId="23AB49EC" w:rsidR="00F63398" w:rsidRDefault="00F63398" w:rsidP="00F63398">
      <w:pPr>
        <w:rPr>
          <w:iCs/>
        </w:rPr>
      </w:pPr>
      <w:r w:rsidRPr="002D2B48">
        <w:rPr>
          <w:b/>
          <w:iCs/>
          <w:u w:val="single"/>
        </w:rPr>
        <w:t>Proposal 1:</w:t>
      </w:r>
      <w:r w:rsidRPr="002D2B48">
        <w:rPr>
          <w:iCs/>
        </w:rPr>
        <w:t xml:space="preserve"> The start offset into the circular buffer for RV0 should be 0</w:t>
      </w:r>
      <w:r>
        <w:rPr>
          <w:iCs/>
        </w:rPr>
        <w:t>.</w:t>
      </w:r>
    </w:p>
    <w:p w14:paraId="7D3FB8C0" w14:textId="0C8C14A0" w:rsidR="00F338EC" w:rsidRPr="00F338EC" w:rsidRDefault="00F338EC" w:rsidP="00F63398">
      <w:r w:rsidRPr="00F63398">
        <w:rPr>
          <w:b/>
          <w:u w:val="single"/>
        </w:rPr>
        <w:t>Proposal 2</w:t>
      </w:r>
      <w:r>
        <w:t xml:space="preserve">: The optimal RV order should minimize overlap between subsequent retransmissions. </w:t>
      </w:r>
    </w:p>
    <w:p w14:paraId="5AED750D" w14:textId="31756973" w:rsidR="003363CE" w:rsidRPr="00172D01" w:rsidRDefault="003363CE" w:rsidP="003363CE">
      <w:pPr>
        <w:rPr>
          <w:b/>
        </w:rPr>
      </w:pPr>
      <w:r>
        <w:rPr>
          <w:b/>
          <w:iCs/>
          <w:u w:val="single"/>
        </w:rPr>
        <w:t xml:space="preserve">Proposal </w:t>
      </w:r>
      <w:r w:rsidR="007925CE">
        <w:rPr>
          <w:b/>
          <w:iCs/>
          <w:u w:val="single"/>
        </w:rPr>
        <w:t>3</w:t>
      </w:r>
      <w:r w:rsidRPr="00CC34D7">
        <w:rPr>
          <w:b/>
          <w:iCs/>
          <w:u w:val="single"/>
        </w:rPr>
        <w:t>:</w:t>
      </w:r>
      <w:r>
        <w:rPr>
          <w:iCs/>
        </w:rPr>
        <w:t xml:space="preserve"> </w:t>
      </w:r>
      <w:r>
        <w:rPr>
          <w:i/>
          <w:lang w:val="en-GB"/>
        </w:rPr>
        <w:t>Distributed-</w:t>
      </w:r>
      <w:r w:rsidRPr="006F1734">
        <w:rPr>
          <w:i/>
          <w:lang w:val="en-GB"/>
        </w:rPr>
        <w:t>edge-type</w:t>
      </w:r>
      <w:r>
        <w:rPr>
          <w:i/>
          <w:lang w:val="en-GB"/>
        </w:rPr>
        <w:t xml:space="preserve"> </w:t>
      </w:r>
      <w:r w:rsidRPr="006F1734">
        <w:rPr>
          <w:i/>
          <w:lang w:val="en-GB"/>
        </w:rPr>
        <w:t>reordering</w:t>
      </w:r>
      <w:r>
        <w:rPr>
          <w:iCs/>
        </w:rPr>
        <w:t xml:space="preserve"> (as described in Figure 5) should be considered to improve self-decodability for subsequent RVs after RV0. The depth of the re-ordering should never exceed the depth of the buffer sized selected for limited buffer rate matching.</w:t>
      </w:r>
    </w:p>
    <w:p w14:paraId="664D1A6D" w14:textId="49FEDBDB" w:rsidR="00592573" w:rsidRPr="00592573" w:rsidRDefault="00BC201F" w:rsidP="002F5043">
      <w:pPr>
        <w:rPr>
          <w:b/>
          <w:lang w:val="en-GB"/>
        </w:rPr>
      </w:pPr>
      <w:r>
        <w:rPr>
          <w:b/>
          <w:u w:val="single"/>
          <w:lang w:val="en-GB"/>
        </w:rPr>
        <w:t xml:space="preserve">Proposal </w:t>
      </w:r>
      <w:r w:rsidR="007925CE">
        <w:rPr>
          <w:b/>
          <w:u w:val="single"/>
          <w:lang w:val="en-GB"/>
        </w:rPr>
        <w:t>4</w:t>
      </w:r>
      <w:r w:rsidRPr="00B26C02">
        <w:rPr>
          <w:b/>
          <w:u w:val="single"/>
          <w:lang w:val="en-GB"/>
        </w:rPr>
        <w:t>:</w:t>
      </w:r>
      <w:r>
        <w:rPr>
          <w:b/>
          <w:lang w:val="en-GB"/>
        </w:rPr>
        <w:t xml:space="preserve"> </w:t>
      </w:r>
      <w:r>
        <w:rPr>
          <w:lang w:val="en-GB"/>
        </w:rPr>
        <w:t>Reverse-mapping of coded bits on to modulation symbols, between 1</w:t>
      </w:r>
      <w:r w:rsidRPr="00B26C02">
        <w:rPr>
          <w:vertAlign w:val="superscript"/>
          <w:lang w:val="en-GB"/>
        </w:rPr>
        <w:t>st</w:t>
      </w:r>
      <w:r>
        <w:rPr>
          <w:lang w:val="en-GB"/>
        </w:rPr>
        <w:t xml:space="preserve"> transmission and any repetition in subsequent transmissions, should be considered when applying limited buffer rate matching.</w:t>
      </w:r>
    </w:p>
    <w:p w14:paraId="43B7F896" w14:textId="77777777" w:rsidR="00E523F3" w:rsidRPr="000A64D8" w:rsidRDefault="00E523F3" w:rsidP="00E523F3">
      <w:pPr>
        <w:pStyle w:val="Heading1"/>
        <w:rPr>
          <w:lang w:val="en-US"/>
        </w:rPr>
      </w:pPr>
      <w:r w:rsidRPr="000A64D8">
        <w:rPr>
          <w:lang w:val="en-US"/>
        </w:rPr>
        <w:t>References</w:t>
      </w:r>
    </w:p>
    <w:p w14:paraId="04CDB098" w14:textId="032F7C4E" w:rsidR="00C4029D" w:rsidRDefault="00A278A7" w:rsidP="00172F5C">
      <w:pPr>
        <w:numPr>
          <w:ilvl w:val="0"/>
          <w:numId w:val="2"/>
        </w:numPr>
        <w:spacing w:before="100" w:beforeAutospacing="1" w:after="100" w:afterAutospacing="1"/>
        <w:ind w:left="562" w:hanging="562"/>
        <w:rPr>
          <w:szCs w:val="22"/>
        </w:rPr>
      </w:pPr>
      <w:bookmarkStart w:id="8" w:name="_Ref474112695"/>
      <w:r>
        <w:rPr>
          <w:szCs w:val="22"/>
        </w:rPr>
        <w:t xml:space="preserve">Chairman’s Notes, RAN1 </w:t>
      </w:r>
      <w:r w:rsidR="00ED6E61">
        <w:rPr>
          <w:szCs w:val="22"/>
        </w:rPr>
        <w:t>Ad Hoc</w:t>
      </w:r>
      <w:r w:rsidR="00702E5D">
        <w:rPr>
          <w:szCs w:val="22"/>
        </w:rPr>
        <w:t xml:space="preserve"> #1</w:t>
      </w:r>
      <w:r>
        <w:rPr>
          <w:szCs w:val="22"/>
        </w:rPr>
        <w:t>,</w:t>
      </w:r>
      <w:r w:rsidR="00172F5C">
        <w:rPr>
          <w:szCs w:val="22"/>
        </w:rPr>
        <w:t xml:space="preserve"> </w:t>
      </w:r>
      <w:r w:rsidR="00ED6E61">
        <w:rPr>
          <w:szCs w:val="22"/>
        </w:rPr>
        <w:t>January</w:t>
      </w:r>
      <w:r>
        <w:rPr>
          <w:szCs w:val="22"/>
        </w:rPr>
        <w:t xml:space="preserve"> 2017, </w:t>
      </w:r>
      <w:r w:rsidR="00172F5C">
        <w:rPr>
          <w:szCs w:val="22"/>
        </w:rPr>
        <w:t>Spokane, USA</w:t>
      </w:r>
      <w:r>
        <w:rPr>
          <w:szCs w:val="22"/>
        </w:rPr>
        <w:t>.</w:t>
      </w:r>
      <w:bookmarkEnd w:id="8"/>
    </w:p>
    <w:p w14:paraId="4D675F3B" w14:textId="3F996472" w:rsidR="00140795" w:rsidRDefault="00702E5D" w:rsidP="00172F5C">
      <w:pPr>
        <w:numPr>
          <w:ilvl w:val="0"/>
          <w:numId w:val="2"/>
        </w:numPr>
        <w:spacing w:before="100" w:beforeAutospacing="1" w:after="100" w:afterAutospacing="1"/>
        <w:ind w:left="562" w:hanging="562"/>
        <w:rPr>
          <w:szCs w:val="22"/>
        </w:rPr>
      </w:pPr>
      <w:bookmarkStart w:id="9" w:name="_Ref490175593"/>
      <w:r>
        <w:rPr>
          <w:szCs w:val="22"/>
        </w:rPr>
        <w:t>Chairman’s Notes, RAN1 Ad Hoc #2, June 2017, Qingdao, China.</w:t>
      </w:r>
      <w:bookmarkEnd w:id="9"/>
    </w:p>
    <w:p w14:paraId="7AAF42CD" w14:textId="2C8230F1" w:rsidR="00870D79" w:rsidRDefault="00870D79" w:rsidP="00172F5C">
      <w:pPr>
        <w:numPr>
          <w:ilvl w:val="0"/>
          <w:numId w:val="2"/>
        </w:numPr>
        <w:spacing w:before="100" w:beforeAutospacing="1" w:after="100" w:afterAutospacing="1"/>
        <w:ind w:left="562" w:hanging="562"/>
        <w:rPr>
          <w:szCs w:val="22"/>
        </w:rPr>
      </w:pPr>
      <w:bookmarkStart w:id="10" w:name="_Ref492893353"/>
      <w:r>
        <w:rPr>
          <w:szCs w:val="22"/>
        </w:rPr>
        <w:t>Chairman’s Notes, RAN1 #90, August 2017, Prague, Czech Republic.</w:t>
      </w:r>
      <w:bookmarkEnd w:id="10"/>
    </w:p>
    <w:p w14:paraId="56C764B0" w14:textId="34C42704" w:rsidR="00353863" w:rsidRDefault="00C900B2" w:rsidP="00C900B2">
      <w:pPr>
        <w:numPr>
          <w:ilvl w:val="0"/>
          <w:numId w:val="2"/>
        </w:numPr>
        <w:spacing w:before="100" w:beforeAutospacing="1" w:after="100" w:afterAutospacing="1"/>
        <w:rPr>
          <w:szCs w:val="22"/>
        </w:rPr>
      </w:pPr>
      <w:bookmarkStart w:id="11" w:name="_Ref481821025"/>
      <w:bookmarkStart w:id="12" w:name="_Ref481745407"/>
      <w:r w:rsidRPr="00C900B2">
        <w:rPr>
          <w:szCs w:val="22"/>
        </w:rPr>
        <w:t>R1-1711212</w:t>
      </w:r>
      <w:r w:rsidR="00165046">
        <w:rPr>
          <w:szCs w:val="22"/>
        </w:rPr>
        <w:t>, “</w:t>
      </w:r>
      <w:r>
        <w:rPr>
          <w:szCs w:val="22"/>
        </w:rPr>
        <w:t>LDPC Rate Matching</w:t>
      </w:r>
      <w:r w:rsidR="00165046">
        <w:rPr>
          <w:szCs w:val="22"/>
        </w:rPr>
        <w:t xml:space="preserve">”, Qualcomm Technologies, Inc., RAN1 </w:t>
      </w:r>
      <w:r>
        <w:rPr>
          <w:szCs w:val="22"/>
        </w:rPr>
        <w:t>AdHoc #2</w:t>
      </w:r>
      <w:r w:rsidR="00165046">
        <w:rPr>
          <w:szCs w:val="22"/>
        </w:rPr>
        <w:t xml:space="preserve">, </w:t>
      </w:r>
      <w:bookmarkEnd w:id="11"/>
      <w:bookmarkEnd w:id="12"/>
      <w:r>
        <w:rPr>
          <w:szCs w:val="22"/>
        </w:rPr>
        <w:t>Qingdao, China.</w:t>
      </w:r>
    </w:p>
    <w:p w14:paraId="641999B8" w14:textId="4BFD04BB" w:rsidR="00823939" w:rsidRPr="00823939" w:rsidRDefault="00823939" w:rsidP="00823939">
      <w:pPr>
        <w:numPr>
          <w:ilvl w:val="0"/>
          <w:numId w:val="2"/>
        </w:numPr>
        <w:spacing w:before="100" w:beforeAutospacing="1" w:after="100" w:afterAutospacing="1"/>
        <w:rPr>
          <w:szCs w:val="22"/>
        </w:rPr>
      </w:pPr>
      <w:bookmarkStart w:id="13" w:name="_Ref492932534"/>
      <w:r w:rsidRPr="00C900B2">
        <w:rPr>
          <w:szCs w:val="22"/>
        </w:rPr>
        <w:t>R1-</w:t>
      </w:r>
      <w:r>
        <w:rPr>
          <w:szCs w:val="22"/>
        </w:rPr>
        <w:t>1713462</w:t>
      </w:r>
      <w:r>
        <w:rPr>
          <w:szCs w:val="22"/>
        </w:rPr>
        <w:t xml:space="preserve">, “LDPC Rate Matching”, Qualcomm Technologies, Inc., RAN1 </w:t>
      </w:r>
      <w:r>
        <w:rPr>
          <w:szCs w:val="22"/>
        </w:rPr>
        <w:t>#90, Prague, Czech Republic</w:t>
      </w:r>
      <w:r>
        <w:rPr>
          <w:szCs w:val="22"/>
        </w:rPr>
        <w:t>.</w:t>
      </w:r>
      <w:bookmarkEnd w:id="13"/>
    </w:p>
    <w:p w14:paraId="2CF15D25" w14:textId="5B240BD7" w:rsidR="003355DA" w:rsidRPr="00756E87" w:rsidRDefault="003355DA" w:rsidP="003355DA">
      <w:pPr>
        <w:numPr>
          <w:ilvl w:val="0"/>
          <w:numId w:val="2"/>
        </w:numPr>
        <w:spacing w:before="100" w:beforeAutospacing="1" w:after="100" w:afterAutospacing="1"/>
        <w:rPr>
          <w:szCs w:val="22"/>
        </w:rPr>
      </w:pPr>
      <w:bookmarkStart w:id="14" w:name="_Ref492932315"/>
      <w:r w:rsidRPr="003355DA">
        <w:rPr>
          <w:szCs w:val="22"/>
        </w:rPr>
        <w:t>R1-1716442_RV_Params_K4224.xlsx</w:t>
      </w:r>
      <w:r>
        <w:rPr>
          <w:szCs w:val="22"/>
        </w:rPr>
        <w:t>, Qualcomm Technologies, Inc. RAN1 AdHoc #3, Nagoya, Japan.</w:t>
      </w:r>
      <w:bookmarkEnd w:id="14"/>
    </w:p>
    <w:sectPr w:rsidR="003355DA" w:rsidRPr="00756E87"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FD2B2" w14:textId="77777777" w:rsidR="00750C06" w:rsidRDefault="00750C06">
      <w:r>
        <w:separator/>
      </w:r>
    </w:p>
  </w:endnote>
  <w:endnote w:type="continuationSeparator" w:id="0">
    <w:p w14:paraId="66DACA22" w14:textId="77777777" w:rsidR="00750C06" w:rsidRDefault="00750C06">
      <w:r>
        <w:continuationSeparator/>
      </w:r>
    </w:p>
  </w:endnote>
  <w:endnote w:type="continuationNotice" w:id="1">
    <w:p w14:paraId="1E521538" w14:textId="77777777" w:rsidR="00750C06" w:rsidRDefault="0075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D727ED6"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8431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431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4C5BE" w14:textId="77777777" w:rsidR="00750C06" w:rsidRDefault="00750C06">
      <w:r>
        <w:separator/>
      </w:r>
    </w:p>
  </w:footnote>
  <w:footnote w:type="continuationSeparator" w:id="0">
    <w:p w14:paraId="7C8E9EEF" w14:textId="77777777" w:rsidR="00750C06" w:rsidRDefault="00750C06">
      <w:r>
        <w:continuationSeparator/>
      </w:r>
    </w:p>
  </w:footnote>
  <w:footnote w:type="continuationNotice" w:id="1">
    <w:p w14:paraId="3552C390" w14:textId="77777777" w:rsidR="00750C06" w:rsidRDefault="00750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1"/>
  </w:num>
  <w:num w:numId="2">
    <w:abstractNumId w:val="0"/>
  </w:num>
  <w:num w:numId="3">
    <w:abstractNumId w:val="5"/>
  </w:num>
  <w:num w:numId="4">
    <w:abstractNumId w:val="25"/>
  </w:num>
  <w:num w:numId="5">
    <w:abstractNumId w:val="6"/>
  </w:num>
  <w:num w:numId="6">
    <w:abstractNumId w:val="13"/>
  </w:num>
  <w:num w:numId="7">
    <w:abstractNumId w:val="17"/>
  </w:num>
  <w:num w:numId="8">
    <w:abstractNumId w:val="1"/>
  </w:num>
  <w:num w:numId="9">
    <w:abstractNumId w:val="35"/>
    <w:lvlOverride w:ilvl="0">
      <w:startOverride w:val="1"/>
    </w:lvlOverride>
  </w:num>
  <w:num w:numId="10">
    <w:abstractNumId w:val="29"/>
  </w:num>
  <w:num w:numId="11">
    <w:abstractNumId w:val="32"/>
  </w:num>
  <w:num w:numId="12">
    <w:abstractNumId w:val="30"/>
  </w:num>
  <w:num w:numId="13">
    <w:abstractNumId w:val="3"/>
  </w:num>
  <w:num w:numId="14">
    <w:abstractNumId w:val="20"/>
  </w:num>
  <w:num w:numId="15">
    <w:abstractNumId w:val="22"/>
  </w:num>
  <w:num w:numId="16">
    <w:abstractNumId w:val="16"/>
  </w:num>
  <w:num w:numId="17">
    <w:abstractNumId w:val="10"/>
  </w:num>
  <w:num w:numId="18">
    <w:abstractNumId w:val="9"/>
  </w:num>
  <w:num w:numId="19">
    <w:abstractNumId w:val="23"/>
  </w:num>
  <w:num w:numId="20">
    <w:abstractNumId w:val="28"/>
  </w:num>
  <w:num w:numId="21">
    <w:abstractNumId w:val="33"/>
  </w:num>
  <w:num w:numId="22">
    <w:abstractNumId w:val="36"/>
  </w:num>
  <w:num w:numId="23">
    <w:abstractNumId w:val="15"/>
  </w:num>
  <w:num w:numId="24">
    <w:abstractNumId w:val="12"/>
  </w:num>
  <w:num w:numId="25">
    <w:abstractNumId w:val="24"/>
  </w:num>
  <w:num w:numId="26">
    <w:abstractNumId w:val="18"/>
  </w:num>
  <w:num w:numId="27">
    <w:abstractNumId w:val="2"/>
  </w:num>
  <w:num w:numId="28">
    <w:abstractNumId w:val="27"/>
  </w:num>
  <w:num w:numId="29">
    <w:abstractNumId w:val="26"/>
  </w:num>
  <w:num w:numId="30">
    <w:abstractNumId w:val="8"/>
  </w:num>
  <w:num w:numId="31">
    <w:abstractNumId w:val="19"/>
  </w:num>
  <w:num w:numId="32">
    <w:abstractNumId w:val="7"/>
  </w:num>
  <w:num w:numId="33">
    <w:abstractNumId w:val="34"/>
  </w:num>
  <w:num w:numId="34">
    <w:abstractNumId w:val="14"/>
  </w:num>
  <w:num w:numId="35">
    <w:abstractNumId w:val="31"/>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B93"/>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0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B48"/>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D1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5DA"/>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43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5F1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6DB7"/>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5CE"/>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1BD"/>
    <w:rsid w:val="00823335"/>
    <w:rsid w:val="008235D2"/>
    <w:rsid w:val="008235E4"/>
    <w:rsid w:val="008237B2"/>
    <w:rsid w:val="00823939"/>
    <w:rsid w:val="00823B2A"/>
    <w:rsid w:val="00823B59"/>
    <w:rsid w:val="00823F61"/>
    <w:rsid w:val="0082449E"/>
    <w:rsid w:val="008247A4"/>
    <w:rsid w:val="008249FF"/>
    <w:rsid w:val="00824EBD"/>
    <w:rsid w:val="008251EC"/>
    <w:rsid w:val="00825511"/>
    <w:rsid w:val="00825693"/>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0D79"/>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C"/>
    <w:rsid w:val="00D45B68"/>
    <w:rsid w:val="00D466E5"/>
    <w:rsid w:val="00D467C7"/>
    <w:rsid w:val="00D4688E"/>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23"/>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E6E"/>
    <w:rsid w:val="00E8412F"/>
    <w:rsid w:val="00E8431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38EC"/>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398"/>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6C7"/>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507234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hyperlink" Target="file:///C:/matthew/3GPP/RAN1/ALU/Meeting90%20Prague/tdocs/R1-1713462.zip"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HR33RHYHUWRF-4-5722</_dlc_DocId>
    <_dlc_DocIdUrl xmlns="c06861ca-3f08-4d07-bff7-bb15bac121f4">
      <Url>https://projects.qualcomm.com/sites/pentari/_layouts/15/DocIdRedir.aspx?ID=HR33RHYHUWRF-4-5722</Url>
      <Description>HR33RHYHUWRF-4-5722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infopath/2007/PartnerControls"/>
    <ds:schemaRef ds:uri="http://schemas.openxmlformats.org/package/2006/metadata/core-properties"/>
    <ds:schemaRef ds:uri="http://purl.org/dc/elements/1.1/"/>
    <ds:schemaRef ds:uri="c06861ca-3f08-4d07-bff7-bb15bac121f4"/>
    <ds:schemaRef ds:uri="http://purl.org/dc/terms/"/>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61DAC43A-6E98-46D2-8CEA-9B50C8194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7</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187</cp:revision>
  <cp:lastPrinted>2014-11-07T05:38:00Z</cp:lastPrinted>
  <dcterms:created xsi:type="dcterms:W3CDTF">2017-05-06T13:07:00Z</dcterms:created>
  <dcterms:modified xsi:type="dcterms:W3CDTF">2017-09-12T05:33:00Z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e48a87f0-84b9-4aeb-b8ce-c20a3f53e7a9</vt:lpwstr>
  </property>
</Properties>
</file>